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F3F54" w14:textId="618A8574" w:rsidR="008E05F7" w:rsidRPr="00AD28E1" w:rsidRDefault="00941009" w:rsidP="00AD28E1">
      <w:pPr>
        <w:spacing w:after="0" w:line="240" w:lineRule="auto"/>
        <w:ind w:left="-709" w:right="-738"/>
        <w:jc w:val="center"/>
        <w:rPr>
          <w:rFonts w:ascii="Tahoma" w:hAnsi="Tahoma" w:cs="Tahoma"/>
          <w:bCs/>
          <w:sz w:val="23"/>
          <w:szCs w:val="23"/>
        </w:rPr>
      </w:pPr>
      <w:bookmarkStart w:id="0" w:name="_Hlk10217333"/>
      <w:r>
        <w:rPr>
          <w:rFonts w:ascii="Tahoma" w:hAnsi="Tahoma" w:cs="Tahoma"/>
          <w:bCs/>
          <w:sz w:val="23"/>
          <w:szCs w:val="23"/>
        </w:rPr>
        <w:t>Sinteza</w:t>
      </w:r>
      <w:r w:rsidR="008E05F7" w:rsidRPr="00AD28E1">
        <w:rPr>
          <w:rFonts w:ascii="Tahoma" w:hAnsi="Tahoma" w:cs="Tahoma"/>
          <w:bCs/>
          <w:sz w:val="23"/>
          <w:szCs w:val="23"/>
        </w:rPr>
        <w:t xml:space="preserve"> observații</w:t>
      </w:r>
      <w:r>
        <w:rPr>
          <w:rFonts w:ascii="Tahoma" w:hAnsi="Tahoma" w:cs="Tahoma"/>
          <w:bCs/>
          <w:sz w:val="23"/>
          <w:szCs w:val="23"/>
        </w:rPr>
        <w:t>lor primite</w:t>
      </w:r>
      <w:r w:rsidR="008E05F7" w:rsidRPr="00AD28E1">
        <w:rPr>
          <w:rFonts w:ascii="Tahoma" w:hAnsi="Tahoma" w:cs="Tahoma"/>
          <w:bCs/>
          <w:sz w:val="23"/>
          <w:szCs w:val="23"/>
        </w:rPr>
        <w:t xml:space="preserve"> pentru </w:t>
      </w:r>
      <w:r w:rsidR="005B15A1" w:rsidRPr="005B15A1">
        <w:rPr>
          <w:rFonts w:ascii="Tahoma" w:hAnsi="Tahoma" w:cs="Tahoma"/>
          <w:bCs/>
          <w:i/>
          <w:iCs/>
          <w:sz w:val="23"/>
          <w:szCs w:val="23"/>
        </w:rPr>
        <w:t>Procedura operațională privind supravegherea funcționării piețelor administrate de energie electrică și de gaze naturale</w:t>
      </w:r>
      <w:r w:rsidR="005B15A1">
        <w:rPr>
          <w:rFonts w:ascii="Tahoma" w:hAnsi="Tahoma" w:cs="Tahoma"/>
          <w:bCs/>
          <w:i/>
          <w:iCs/>
          <w:sz w:val="23"/>
          <w:szCs w:val="23"/>
        </w:rPr>
        <w:t>,</w:t>
      </w:r>
      <w:r w:rsidR="005B15A1" w:rsidRPr="005B15A1">
        <w:rPr>
          <w:rFonts w:ascii="Tahoma" w:hAnsi="Tahoma" w:cs="Tahoma"/>
          <w:bCs/>
          <w:i/>
          <w:iCs/>
          <w:sz w:val="23"/>
          <w:szCs w:val="23"/>
        </w:rPr>
        <w:t xml:space="preserve"> </w:t>
      </w:r>
      <w:r>
        <w:rPr>
          <w:rFonts w:ascii="Tahoma" w:hAnsi="Tahoma" w:cs="Tahoma"/>
          <w:bCs/>
          <w:sz w:val="23"/>
          <w:szCs w:val="23"/>
        </w:rPr>
        <w:t>actualizat</w:t>
      </w:r>
      <w:r w:rsidR="005B15A1">
        <w:rPr>
          <w:rFonts w:ascii="Tahoma" w:hAnsi="Tahoma" w:cs="Tahoma"/>
          <w:bCs/>
          <w:sz w:val="23"/>
          <w:szCs w:val="23"/>
        </w:rPr>
        <w:t>ă</w:t>
      </w:r>
      <w:r>
        <w:rPr>
          <w:rFonts w:ascii="Tahoma" w:hAnsi="Tahoma" w:cs="Tahoma"/>
          <w:bCs/>
          <w:sz w:val="23"/>
          <w:szCs w:val="23"/>
        </w:rPr>
        <w:t xml:space="preserve"> conform</w:t>
      </w:r>
      <w:r w:rsidR="008E05F7" w:rsidRPr="00AD28E1">
        <w:rPr>
          <w:rFonts w:ascii="Tahoma" w:hAnsi="Tahoma" w:cs="Tahoma"/>
          <w:bCs/>
          <w:sz w:val="23"/>
          <w:szCs w:val="23"/>
        </w:rPr>
        <w:t xml:space="preserve"> prevederilor Ordinului ANRE nr. </w:t>
      </w:r>
      <w:r w:rsidR="00507062" w:rsidRPr="00AD28E1">
        <w:rPr>
          <w:rFonts w:ascii="Tahoma" w:hAnsi="Tahoma" w:cs="Tahoma"/>
          <w:bCs/>
          <w:sz w:val="23"/>
          <w:szCs w:val="23"/>
        </w:rPr>
        <w:t>16</w:t>
      </w:r>
      <w:r w:rsidR="00272BC0" w:rsidRPr="00AD28E1">
        <w:rPr>
          <w:rFonts w:ascii="Tahoma" w:hAnsi="Tahoma" w:cs="Tahoma"/>
          <w:bCs/>
          <w:sz w:val="23"/>
          <w:szCs w:val="23"/>
        </w:rPr>
        <w:t>0</w:t>
      </w:r>
      <w:r w:rsidR="008E05F7" w:rsidRPr="00AD28E1">
        <w:rPr>
          <w:rFonts w:ascii="Tahoma" w:hAnsi="Tahoma" w:cs="Tahoma"/>
          <w:bCs/>
          <w:sz w:val="23"/>
          <w:szCs w:val="23"/>
        </w:rPr>
        <w:t>/201</w:t>
      </w:r>
      <w:r w:rsidR="00272BC0" w:rsidRPr="00AD28E1">
        <w:rPr>
          <w:rFonts w:ascii="Tahoma" w:hAnsi="Tahoma" w:cs="Tahoma"/>
          <w:bCs/>
          <w:sz w:val="23"/>
          <w:szCs w:val="23"/>
        </w:rPr>
        <w:t>9</w:t>
      </w:r>
    </w:p>
    <w:p w14:paraId="1BE076C4" w14:textId="1E90DF22" w:rsidR="0021790A" w:rsidRPr="00AD28E1" w:rsidRDefault="0021790A" w:rsidP="00AD28E1">
      <w:pPr>
        <w:spacing w:after="0" w:line="240" w:lineRule="auto"/>
        <w:ind w:left="-709" w:right="-738"/>
        <w:jc w:val="center"/>
        <w:rPr>
          <w:rFonts w:ascii="Tahoma" w:hAnsi="Tahoma" w:cs="Tahoma"/>
          <w:bCs/>
          <w:sz w:val="23"/>
          <w:szCs w:val="23"/>
        </w:rPr>
      </w:pPr>
    </w:p>
    <w:p w14:paraId="3AEE10CE" w14:textId="77777777" w:rsidR="00AD28E1" w:rsidRPr="00835CCD" w:rsidRDefault="00AD28E1" w:rsidP="00AD28E1">
      <w:pPr>
        <w:spacing w:after="0" w:line="240" w:lineRule="auto"/>
        <w:ind w:left="-567" w:right="-597"/>
        <w:jc w:val="center"/>
        <w:rPr>
          <w:rFonts w:ascii="Tahoma" w:hAnsi="Tahoma" w:cs="Tahoma"/>
          <w:bCs/>
          <w:sz w:val="6"/>
          <w:szCs w:val="6"/>
        </w:rPr>
      </w:pPr>
    </w:p>
    <w:tbl>
      <w:tblPr>
        <w:tblStyle w:val="TableGrid"/>
        <w:tblW w:w="15025" w:type="dxa"/>
        <w:jc w:val="center"/>
        <w:tblLayout w:type="fixed"/>
        <w:tblLook w:val="04A0" w:firstRow="1" w:lastRow="0" w:firstColumn="1" w:lastColumn="0" w:noHBand="0" w:noVBand="1"/>
      </w:tblPr>
      <w:tblGrid>
        <w:gridCol w:w="1447"/>
        <w:gridCol w:w="2864"/>
        <w:gridCol w:w="4082"/>
        <w:gridCol w:w="3260"/>
        <w:gridCol w:w="3372"/>
      </w:tblGrid>
      <w:tr w:rsidR="00A84EE4" w:rsidRPr="00373DA0" w14:paraId="00B0BDAD" w14:textId="3356055B" w:rsidTr="004F1C90">
        <w:trPr>
          <w:trHeight w:val="478"/>
          <w:tblHeader/>
          <w:jc w:val="center"/>
        </w:trPr>
        <w:tc>
          <w:tcPr>
            <w:tcW w:w="1447" w:type="dxa"/>
            <w:shd w:val="clear" w:color="auto" w:fill="F2F2F2" w:themeFill="background1" w:themeFillShade="F2"/>
            <w:vAlign w:val="center"/>
          </w:tcPr>
          <w:p w14:paraId="066038DD" w14:textId="3A263827" w:rsidR="00975A12" w:rsidRPr="00373DA0" w:rsidRDefault="00975A12" w:rsidP="00E85221">
            <w:pPr>
              <w:jc w:val="center"/>
              <w:rPr>
                <w:rFonts w:ascii="Tahoma" w:hAnsi="Tahoma" w:cs="Tahoma"/>
              </w:rPr>
            </w:pPr>
            <w:r w:rsidRPr="00373DA0">
              <w:rPr>
                <w:rFonts w:ascii="Tahoma" w:hAnsi="Tahoma" w:cs="Tahoma"/>
              </w:rPr>
              <w:t>Art.</w:t>
            </w:r>
          </w:p>
        </w:tc>
        <w:tc>
          <w:tcPr>
            <w:tcW w:w="2864" w:type="dxa"/>
            <w:shd w:val="clear" w:color="auto" w:fill="F2F2F2" w:themeFill="background1" w:themeFillShade="F2"/>
            <w:vAlign w:val="center"/>
          </w:tcPr>
          <w:p w14:paraId="34722F75" w14:textId="5ECE9E33" w:rsidR="00975A12" w:rsidRPr="00373DA0" w:rsidRDefault="00975A12" w:rsidP="00E85221">
            <w:pPr>
              <w:jc w:val="center"/>
              <w:rPr>
                <w:rFonts w:ascii="Tahoma" w:hAnsi="Tahoma" w:cs="Tahoma"/>
              </w:rPr>
            </w:pPr>
            <w:r w:rsidRPr="00373DA0">
              <w:rPr>
                <w:rFonts w:ascii="Tahoma" w:hAnsi="Tahoma" w:cs="Tahoma"/>
              </w:rPr>
              <w:t>Text de referință</w:t>
            </w:r>
          </w:p>
        </w:tc>
        <w:tc>
          <w:tcPr>
            <w:tcW w:w="4082" w:type="dxa"/>
            <w:shd w:val="clear" w:color="auto" w:fill="F2F2F2" w:themeFill="background1" w:themeFillShade="F2"/>
            <w:vAlign w:val="center"/>
          </w:tcPr>
          <w:p w14:paraId="1B9365AF" w14:textId="5A0F5116" w:rsidR="00975A12" w:rsidRPr="00373DA0" w:rsidRDefault="00975A12" w:rsidP="00E85221">
            <w:pPr>
              <w:jc w:val="center"/>
              <w:rPr>
                <w:rFonts w:ascii="Tahoma" w:hAnsi="Tahoma" w:cs="Tahoma"/>
                <w:i/>
              </w:rPr>
            </w:pPr>
            <w:r w:rsidRPr="00373DA0">
              <w:rPr>
                <w:rFonts w:ascii="Tahoma" w:hAnsi="Tahoma" w:cs="Tahoma"/>
              </w:rPr>
              <w:t>Observații/propuneri</w:t>
            </w:r>
          </w:p>
        </w:tc>
        <w:tc>
          <w:tcPr>
            <w:tcW w:w="3260" w:type="dxa"/>
            <w:shd w:val="clear" w:color="auto" w:fill="F2F2F2" w:themeFill="background1" w:themeFillShade="F2"/>
            <w:vAlign w:val="center"/>
          </w:tcPr>
          <w:p w14:paraId="58F9AC02" w14:textId="2F8EC49C" w:rsidR="00975A12" w:rsidRPr="00373DA0" w:rsidRDefault="00975A12" w:rsidP="00E85221">
            <w:pPr>
              <w:jc w:val="center"/>
              <w:rPr>
                <w:rFonts w:ascii="Tahoma" w:hAnsi="Tahoma" w:cs="Tahoma"/>
              </w:rPr>
            </w:pPr>
            <w:r w:rsidRPr="00373DA0">
              <w:rPr>
                <w:rFonts w:ascii="Tahoma" w:hAnsi="Tahoma" w:cs="Tahoma"/>
              </w:rPr>
              <w:t xml:space="preserve">Clarificări </w:t>
            </w:r>
            <w:r w:rsidR="00373DA0" w:rsidRPr="00373DA0">
              <w:rPr>
                <w:rFonts w:ascii="Tahoma" w:hAnsi="Tahoma" w:cs="Tahoma"/>
              </w:rPr>
              <w:t>OPCOM</w:t>
            </w:r>
          </w:p>
        </w:tc>
        <w:tc>
          <w:tcPr>
            <w:tcW w:w="3372" w:type="dxa"/>
            <w:shd w:val="clear" w:color="auto" w:fill="F2F2F2" w:themeFill="background1" w:themeFillShade="F2"/>
            <w:vAlign w:val="center"/>
          </w:tcPr>
          <w:p w14:paraId="06185073" w14:textId="49C62244" w:rsidR="00975A12" w:rsidRPr="00373DA0" w:rsidRDefault="00975A12" w:rsidP="00E85221">
            <w:pPr>
              <w:jc w:val="center"/>
              <w:rPr>
                <w:rFonts w:ascii="Tahoma" w:hAnsi="Tahoma" w:cs="Tahoma"/>
              </w:rPr>
            </w:pPr>
            <w:r w:rsidRPr="00373DA0">
              <w:rPr>
                <w:rFonts w:ascii="Tahoma" w:hAnsi="Tahoma" w:cs="Tahoma"/>
              </w:rPr>
              <w:t>Text final</w:t>
            </w:r>
          </w:p>
        </w:tc>
      </w:tr>
      <w:tr w:rsidR="00373DA0" w:rsidRPr="00A84EE4" w14:paraId="081AE5CD" w14:textId="77777777" w:rsidTr="004F1C90">
        <w:trPr>
          <w:trHeight w:val="478"/>
          <w:jc w:val="center"/>
        </w:trPr>
        <w:tc>
          <w:tcPr>
            <w:tcW w:w="1447" w:type="dxa"/>
            <w:shd w:val="clear" w:color="auto" w:fill="auto"/>
          </w:tcPr>
          <w:p w14:paraId="203550D0" w14:textId="22ACBC0D" w:rsidR="00820069" w:rsidRPr="00A84EE4" w:rsidRDefault="00507062" w:rsidP="00A84EE4">
            <w:pPr>
              <w:rPr>
                <w:rFonts w:ascii="Tahoma" w:hAnsi="Tahoma" w:cs="Tahoma"/>
              </w:rPr>
            </w:pPr>
            <w:r>
              <w:rPr>
                <w:rFonts w:ascii="Tahoma" w:hAnsi="Tahoma" w:cs="Tahoma"/>
              </w:rPr>
              <w:t>Art</w:t>
            </w:r>
            <w:r w:rsidR="00820069" w:rsidRPr="00A84EE4">
              <w:rPr>
                <w:rFonts w:ascii="Tahoma" w:hAnsi="Tahoma" w:cs="Tahoma"/>
              </w:rPr>
              <w:t xml:space="preserve">.3 </w:t>
            </w:r>
            <w:r w:rsidR="00AD28E1" w:rsidRPr="00AD28E1">
              <w:rPr>
                <w:rFonts w:ascii="Tahoma" w:hAnsi="Tahoma" w:cs="Tahoma"/>
              </w:rPr>
              <w:t>Acronime</w:t>
            </w:r>
          </w:p>
        </w:tc>
        <w:tc>
          <w:tcPr>
            <w:tcW w:w="2864" w:type="dxa"/>
            <w:shd w:val="clear" w:color="auto" w:fill="auto"/>
          </w:tcPr>
          <w:p w14:paraId="3869F482" w14:textId="77777777" w:rsidR="00820069" w:rsidRPr="00365B5D" w:rsidRDefault="00820069" w:rsidP="00365B5D">
            <w:pPr>
              <w:rPr>
                <w:rFonts w:ascii="Tahoma" w:hAnsi="Tahoma" w:cs="Tahoma"/>
              </w:rPr>
            </w:pPr>
          </w:p>
        </w:tc>
        <w:tc>
          <w:tcPr>
            <w:tcW w:w="4082" w:type="dxa"/>
            <w:shd w:val="clear" w:color="auto" w:fill="auto"/>
          </w:tcPr>
          <w:p w14:paraId="2AC73C6F" w14:textId="5966B479" w:rsidR="00A84EE4" w:rsidRPr="00A84EE4" w:rsidRDefault="00A84EE4" w:rsidP="00A84EE4">
            <w:pPr>
              <w:rPr>
                <w:rFonts w:ascii="Tahoma" w:hAnsi="Tahoma" w:cs="Tahoma"/>
              </w:rPr>
            </w:pPr>
            <w:r w:rsidRPr="00A84EE4">
              <w:rPr>
                <w:rFonts w:ascii="Tahoma" w:hAnsi="Tahoma" w:cs="Tahoma"/>
              </w:rPr>
              <w:t>Propunem completarea cu:</w:t>
            </w:r>
          </w:p>
          <w:p w14:paraId="0D7FE55D" w14:textId="2DFA60C4" w:rsidR="00820069" w:rsidRPr="00A84EE4" w:rsidRDefault="00A84EE4" w:rsidP="00A84EE4">
            <w:pPr>
              <w:rPr>
                <w:rFonts w:ascii="Tahoma" w:hAnsi="Tahoma" w:cs="Tahoma"/>
              </w:rPr>
            </w:pPr>
            <w:r w:rsidRPr="00A84EE4">
              <w:rPr>
                <w:rFonts w:ascii="Tahoma" w:hAnsi="Tahoma" w:cs="Tahoma"/>
              </w:rPr>
              <w:t>PI-GN-Piața intrazilnică de gaze naturale</w:t>
            </w:r>
            <w:r w:rsidR="00736BF2">
              <w:rPr>
                <w:rFonts w:ascii="Tahoma" w:hAnsi="Tahoma" w:cs="Tahoma"/>
              </w:rPr>
              <w:t xml:space="preserve"> </w:t>
            </w:r>
            <w:r w:rsidRPr="00A84EE4">
              <w:rPr>
                <w:rFonts w:ascii="Tahoma" w:hAnsi="Tahoma" w:cs="Tahoma"/>
              </w:rPr>
              <w:t>(AFEER)</w:t>
            </w:r>
          </w:p>
          <w:p w14:paraId="53D5FADD" w14:textId="6573F34B" w:rsidR="00A84EE4" w:rsidRPr="00507062" w:rsidRDefault="00A84EE4" w:rsidP="00A84EE4">
            <w:pPr>
              <w:rPr>
                <w:rFonts w:ascii="Tahoma" w:hAnsi="Tahoma" w:cs="Tahoma"/>
                <w:i/>
              </w:rPr>
            </w:pPr>
            <w:r w:rsidRPr="00507062">
              <w:rPr>
                <w:rFonts w:ascii="Tahoma" w:hAnsi="Tahoma" w:cs="Tahoma"/>
                <w:i/>
              </w:rPr>
              <w:t>Motivație: este o piață administrată de S.C. Opcom S.A.</w:t>
            </w:r>
          </w:p>
        </w:tc>
        <w:tc>
          <w:tcPr>
            <w:tcW w:w="3260" w:type="dxa"/>
          </w:tcPr>
          <w:p w14:paraId="5305CFBE" w14:textId="77777777" w:rsidR="00820069" w:rsidRPr="00A84EE4" w:rsidRDefault="00820069" w:rsidP="00E85221">
            <w:pPr>
              <w:jc w:val="center"/>
              <w:rPr>
                <w:rFonts w:ascii="Tahoma" w:hAnsi="Tahoma" w:cs="Tahoma"/>
                <w:b/>
              </w:rPr>
            </w:pPr>
          </w:p>
        </w:tc>
        <w:tc>
          <w:tcPr>
            <w:tcW w:w="3372" w:type="dxa"/>
          </w:tcPr>
          <w:p w14:paraId="20FF959A" w14:textId="7BFC0026" w:rsidR="00820069" w:rsidRPr="00A84EE4" w:rsidRDefault="00A84EE4" w:rsidP="00A84EE4">
            <w:pPr>
              <w:jc w:val="both"/>
              <w:rPr>
                <w:rFonts w:ascii="Tahoma" w:hAnsi="Tahoma" w:cs="Tahoma"/>
                <w:bCs/>
              </w:rPr>
            </w:pPr>
            <w:bookmarkStart w:id="1" w:name="_Hlk17276232"/>
            <w:r w:rsidRPr="00A84EE4">
              <w:rPr>
                <w:rFonts w:ascii="Tahoma" w:hAnsi="Tahoma" w:cs="Tahoma"/>
                <w:bCs/>
              </w:rPr>
              <w:t>PI-GN-Piața intrazilnică de gaze naturale</w:t>
            </w:r>
            <w:bookmarkEnd w:id="1"/>
          </w:p>
        </w:tc>
      </w:tr>
      <w:tr w:rsidR="00A84EE4" w:rsidRPr="00A84EE4" w14:paraId="60D4B3F9" w14:textId="77777777" w:rsidTr="004F1C90">
        <w:trPr>
          <w:trHeight w:val="478"/>
          <w:jc w:val="center"/>
        </w:trPr>
        <w:tc>
          <w:tcPr>
            <w:tcW w:w="1447" w:type="dxa"/>
            <w:shd w:val="clear" w:color="auto" w:fill="auto"/>
          </w:tcPr>
          <w:p w14:paraId="00509B81" w14:textId="24F14C9A" w:rsidR="00A84EE4" w:rsidRPr="00A84EE4" w:rsidRDefault="00507062" w:rsidP="00A84EE4">
            <w:pPr>
              <w:rPr>
                <w:rFonts w:ascii="Tahoma" w:hAnsi="Tahoma" w:cs="Tahoma"/>
              </w:rPr>
            </w:pPr>
            <w:r>
              <w:rPr>
                <w:rFonts w:ascii="Tahoma" w:hAnsi="Tahoma" w:cs="Tahoma"/>
              </w:rPr>
              <w:t>Art</w:t>
            </w:r>
            <w:r w:rsidR="00C910BE" w:rsidRPr="00C910BE">
              <w:rPr>
                <w:rFonts w:ascii="Tahoma" w:hAnsi="Tahoma" w:cs="Tahoma"/>
              </w:rPr>
              <w:t xml:space="preserve">.4. </w:t>
            </w:r>
            <w:r w:rsidR="00AD28E1" w:rsidRPr="00C910BE">
              <w:rPr>
                <w:rFonts w:ascii="Tahoma" w:hAnsi="Tahoma" w:cs="Tahoma"/>
              </w:rPr>
              <w:t>Definiții</w:t>
            </w:r>
          </w:p>
        </w:tc>
        <w:tc>
          <w:tcPr>
            <w:tcW w:w="2864" w:type="dxa"/>
            <w:shd w:val="clear" w:color="auto" w:fill="auto"/>
          </w:tcPr>
          <w:p w14:paraId="13C4CFB9" w14:textId="77777777" w:rsidR="00365B5D" w:rsidRPr="00365B5D" w:rsidRDefault="00365B5D" w:rsidP="00A61422">
            <w:pPr>
              <w:jc w:val="both"/>
              <w:rPr>
                <w:rFonts w:ascii="Tahoma" w:hAnsi="Tahoma" w:cs="Tahoma"/>
              </w:rPr>
            </w:pPr>
            <w:r w:rsidRPr="00365B5D">
              <w:rPr>
                <w:rFonts w:ascii="Tahoma" w:hAnsi="Tahoma" w:cs="Tahoma"/>
              </w:rPr>
              <w:t>4.3.</w:t>
            </w:r>
            <w:r w:rsidRPr="00365B5D">
              <w:rPr>
                <w:rFonts w:ascii="Tahoma" w:hAnsi="Tahoma" w:cs="Tahoma"/>
              </w:rPr>
              <w:tab/>
              <w:t>Comportament de piaţă anormal - comportament caracterizat de neconcordanţa dintre intenţiile de tranzacţionare ale unui participant pe o componentă a pieţei de energie electrică într-un anumit moment (exprimate prin oferte, notificări) şi manifestările sale anterioare sau datele publice care caracterizează momentul respectiv;</w:t>
            </w:r>
          </w:p>
          <w:p w14:paraId="3E7F53FE" w14:textId="77777777" w:rsidR="00365B5D" w:rsidRPr="00365B5D" w:rsidRDefault="00365B5D" w:rsidP="00A61422">
            <w:pPr>
              <w:jc w:val="both"/>
              <w:rPr>
                <w:rFonts w:ascii="Tahoma" w:hAnsi="Tahoma" w:cs="Tahoma"/>
              </w:rPr>
            </w:pPr>
            <w:r w:rsidRPr="00365B5D">
              <w:rPr>
                <w:rFonts w:ascii="Tahoma" w:hAnsi="Tahoma" w:cs="Tahoma"/>
              </w:rPr>
              <w:t>4.4.</w:t>
            </w:r>
            <w:r w:rsidRPr="00365B5D">
              <w:rPr>
                <w:rFonts w:ascii="Tahoma" w:hAnsi="Tahoma" w:cs="Tahoma"/>
              </w:rPr>
              <w:tab/>
              <w:t>Comportament de piaţă inadecvat - comportament care se abate de la reglementările în vigoare şi de la procedurile conexe, putând avea un efect negativ asupra eficienţei pieţei angro de energie electrică;</w:t>
            </w:r>
          </w:p>
          <w:p w14:paraId="2F6A625B" w14:textId="0B96B992" w:rsidR="00A84EE4" w:rsidRPr="00365B5D" w:rsidRDefault="00365B5D" w:rsidP="00A61422">
            <w:pPr>
              <w:jc w:val="both"/>
              <w:rPr>
                <w:rFonts w:ascii="Tahoma" w:hAnsi="Tahoma" w:cs="Tahoma"/>
              </w:rPr>
            </w:pPr>
            <w:r w:rsidRPr="00365B5D">
              <w:rPr>
                <w:rFonts w:ascii="Tahoma" w:hAnsi="Tahoma" w:cs="Tahoma"/>
              </w:rPr>
              <w:t>4.5.</w:t>
            </w:r>
            <w:r w:rsidRPr="00365B5D">
              <w:rPr>
                <w:rFonts w:ascii="Tahoma" w:hAnsi="Tahoma" w:cs="Tahoma"/>
              </w:rPr>
              <w:tab/>
              <w:t>Entitate de monitorizare - entitate organizatorică distinctă la nivelul OPCOM, cu atribuţii de monitorizare a pieţelor de energie electrică aflate în administrare;</w:t>
            </w:r>
          </w:p>
        </w:tc>
        <w:tc>
          <w:tcPr>
            <w:tcW w:w="4082" w:type="dxa"/>
            <w:shd w:val="clear" w:color="auto" w:fill="auto"/>
          </w:tcPr>
          <w:p w14:paraId="6E552F24" w14:textId="348076F9" w:rsidR="00C910BE" w:rsidRPr="00C910BE" w:rsidRDefault="00C910BE" w:rsidP="00A61422">
            <w:pPr>
              <w:jc w:val="both"/>
              <w:rPr>
                <w:rFonts w:ascii="Tahoma" w:hAnsi="Tahoma" w:cs="Tahoma"/>
              </w:rPr>
            </w:pPr>
            <w:r>
              <w:rPr>
                <w:rFonts w:ascii="Tahoma" w:hAnsi="Tahoma" w:cs="Tahoma"/>
              </w:rPr>
              <w:t>P</w:t>
            </w:r>
            <w:r w:rsidRPr="00C910BE">
              <w:rPr>
                <w:rFonts w:ascii="Tahoma" w:hAnsi="Tahoma" w:cs="Tahoma"/>
              </w:rPr>
              <w:t>ropunem completarea pct. 4.3, 4.4 și 4.5., astfel:</w:t>
            </w:r>
          </w:p>
          <w:p w14:paraId="54FE74D5" w14:textId="77777777" w:rsidR="00C910BE" w:rsidRPr="00C910BE" w:rsidRDefault="00C910BE" w:rsidP="00A61422">
            <w:pPr>
              <w:jc w:val="both"/>
              <w:rPr>
                <w:rFonts w:ascii="Tahoma" w:hAnsi="Tahoma" w:cs="Tahoma"/>
              </w:rPr>
            </w:pPr>
            <w:r w:rsidRPr="00C910BE">
              <w:rPr>
                <w:rFonts w:ascii="Tahoma" w:hAnsi="Tahoma" w:cs="Tahoma"/>
              </w:rPr>
              <w:t>4.3.</w:t>
            </w:r>
            <w:r w:rsidRPr="00C910BE">
              <w:rPr>
                <w:rFonts w:ascii="Tahoma" w:hAnsi="Tahoma" w:cs="Tahoma"/>
              </w:rPr>
              <w:tab/>
              <w:t xml:space="preserve">Comportament de piaţă anormal - comportament caracterizat de neconcordanţa dintre intenţiile de tranzacţionare ale unui participant pe o componentă a pieţei de energie electrică, </w:t>
            </w:r>
            <w:r w:rsidRPr="00C910BE">
              <w:rPr>
                <w:rFonts w:ascii="Tahoma" w:hAnsi="Tahoma" w:cs="Tahoma"/>
                <w:b/>
                <w:bCs/>
              </w:rPr>
              <w:t>respectiv de gaze naturale</w:t>
            </w:r>
            <w:r w:rsidRPr="00C910BE">
              <w:rPr>
                <w:rFonts w:ascii="Tahoma" w:hAnsi="Tahoma" w:cs="Tahoma"/>
              </w:rPr>
              <w:t xml:space="preserve"> într-un anumit moment (exprimate prin oferte, notificări) şi manifestările sale anterioare sau datele publice care caracterizează momentul respectiv;</w:t>
            </w:r>
          </w:p>
          <w:p w14:paraId="4581FE4E" w14:textId="77777777" w:rsidR="00C910BE" w:rsidRPr="00C910BE" w:rsidRDefault="00C910BE" w:rsidP="00A61422">
            <w:pPr>
              <w:jc w:val="both"/>
              <w:rPr>
                <w:rFonts w:ascii="Tahoma" w:hAnsi="Tahoma" w:cs="Tahoma"/>
              </w:rPr>
            </w:pPr>
            <w:r w:rsidRPr="00C910BE">
              <w:rPr>
                <w:rFonts w:ascii="Tahoma" w:hAnsi="Tahoma" w:cs="Tahoma"/>
              </w:rPr>
              <w:t>4.4.</w:t>
            </w:r>
            <w:r w:rsidRPr="00C910BE">
              <w:rPr>
                <w:rFonts w:ascii="Tahoma" w:hAnsi="Tahoma" w:cs="Tahoma"/>
              </w:rPr>
              <w:tab/>
              <w:t xml:space="preserve">Comportament de piaţă inadecvat - comportament care se abate de la reglementările în vigoare şi de la procedurile conexe, putând avea un efect negativ asupra eficienţei pieţei angro de energie electrică, </w:t>
            </w:r>
            <w:r w:rsidRPr="00C910BE">
              <w:rPr>
                <w:rFonts w:ascii="Tahoma" w:hAnsi="Tahoma" w:cs="Tahoma"/>
                <w:b/>
                <w:bCs/>
              </w:rPr>
              <w:t>respectiv de gaze naturale</w:t>
            </w:r>
            <w:r w:rsidRPr="00C910BE">
              <w:rPr>
                <w:rFonts w:ascii="Tahoma" w:hAnsi="Tahoma" w:cs="Tahoma"/>
              </w:rPr>
              <w:t>;</w:t>
            </w:r>
          </w:p>
          <w:p w14:paraId="25DF16B6" w14:textId="77777777" w:rsidR="00C910BE" w:rsidRPr="00C910BE" w:rsidRDefault="00C910BE" w:rsidP="00A61422">
            <w:pPr>
              <w:jc w:val="both"/>
              <w:rPr>
                <w:rFonts w:ascii="Tahoma" w:hAnsi="Tahoma" w:cs="Tahoma"/>
              </w:rPr>
            </w:pPr>
            <w:r w:rsidRPr="00C910BE">
              <w:rPr>
                <w:rFonts w:ascii="Tahoma" w:hAnsi="Tahoma" w:cs="Tahoma"/>
              </w:rPr>
              <w:t>4.5.</w:t>
            </w:r>
            <w:r w:rsidRPr="00C910BE">
              <w:rPr>
                <w:rFonts w:ascii="Tahoma" w:hAnsi="Tahoma" w:cs="Tahoma"/>
              </w:rPr>
              <w:tab/>
              <w:t xml:space="preserve">Entitate de monitorizare - entitate organizatorică distinctă la nivelul OPCOM, cu atribuţii de monitorizare a pieţelor de energie electrică </w:t>
            </w:r>
            <w:r w:rsidRPr="00C910BE">
              <w:rPr>
                <w:rFonts w:ascii="Tahoma" w:hAnsi="Tahoma" w:cs="Tahoma"/>
                <w:b/>
                <w:bCs/>
              </w:rPr>
              <w:t>și de gaze naturale</w:t>
            </w:r>
            <w:r w:rsidRPr="00C910BE">
              <w:rPr>
                <w:rFonts w:ascii="Tahoma" w:hAnsi="Tahoma" w:cs="Tahoma"/>
              </w:rPr>
              <w:t xml:space="preserve"> aflate în administrare;</w:t>
            </w:r>
          </w:p>
          <w:p w14:paraId="3DE2093C" w14:textId="1E17903B" w:rsidR="00A84EE4" w:rsidRDefault="00507062" w:rsidP="00A61422">
            <w:pPr>
              <w:jc w:val="both"/>
              <w:rPr>
                <w:rFonts w:ascii="Tahoma" w:hAnsi="Tahoma" w:cs="Tahoma"/>
              </w:rPr>
            </w:pPr>
            <w:r>
              <w:rPr>
                <w:rFonts w:ascii="Tahoma" w:hAnsi="Tahoma" w:cs="Tahoma"/>
              </w:rPr>
              <w:t>(AFEER)</w:t>
            </w:r>
          </w:p>
          <w:p w14:paraId="1F4C0345" w14:textId="550DB6DB" w:rsidR="00365B5D" w:rsidRPr="00507062" w:rsidRDefault="00365B5D" w:rsidP="00A61422">
            <w:pPr>
              <w:jc w:val="both"/>
              <w:rPr>
                <w:rFonts w:ascii="Tahoma" w:hAnsi="Tahoma" w:cs="Tahoma"/>
                <w:i/>
              </w:rPr>
            </w:pPr>
            <w:r w:rsidRPr="00507062">
              <w:rPr>
                <w:rFonts w:ascii="Tahoma" w:hAnsi="Tahoma" w:cs="Tahoma"/>
                <w:i/>
              </w:rPr>
              <w:t>Motivație: Procedura se referă la ambele piețe de energie.</w:t>
            </w:r>
          </w:p>
        </w:tc>
        <w:tc>
          <w:tcPr>
            <w:tcW w:w="3260" w:type="dxa"/>
          </w:tcPr>
          <w:p w14:paraId="1CB3CC1E" w14:textId="2CF2A2B5" w:rsidR="005A562E" w:rsidRPr="00AE189D" w:rsidRDefault="00C910BE" w:rsidP="005A562E">
            <w:pPr>
              <w:jc w:val="both"/>
              <w:rPr>
                <w:rFonts w:ascii="Tahoma" w:hAnsi="Tahoma" w:cs="Tahoma"/>
                <w:bCs/>
              </w:rPr>
            </w:pPr>
            <w:r>
              <w:rPr>
                <w:rFonts w:ascii="Tahoma" w:hAnsi="Tahoma" w:cs="Tahoma"/>
                <w:bCs/>
              </w:rPr>
              <w:t xml:space="preserve">Aceste definiții sunt preluate din </w:t>
            </w:r>
            <w:r w:rsidRPr="00C910BE">
              <w:rPr>
                <w:rFonts w:ascii="Tahoma" w:hAnsi="Tahoma" w:cs="Tahoma"/>
                <w:bCs/>
                <w:i/>
                <w:iCs/>
              </w:rPr>
              <w:t>Metodologia de monitorizare a pietei angro de energie electrică</w:t>
            </w:r>
            <w:r>
              <w:rPr>
                <w:rFonts w:ascii="Tahoma" w:hAnsi="Tahoma" w:cs="Tahoma"/>
                <w:bCs/>
              </w:rPr>
              <w:t xml:space="preserve"> aprobată prin </w:t>
            </w:r>
            <w:r w:rsidRPr="00C910BE">
              <w:rPr>
                <w:rFonts w:ascii="Tahoma" w:hAnsi="Tahoma" w:cs="Tahoma"/>
                <w:bCs/>
              </w:rPr>
              <w:t>Ordin</w:t>
            </w:r>
            <w:r>
              <w:rPr>
                <w:rFonts w:ascii="Tahoma" w:hAnsi="Tahoma" w:cs="Tahoma"/>
                <w:bCs/>
              </w:rPr>
              <w:t>ul</w:t>
            </w:r>
            <w:r w:rsidRPr="00C910BE">
              <w:rPr>
                <w:rFonts w:ascii="Tahoma" w:hAnsi="Tahoma" w:cs="Tahoma"/>
                <w:bCs/>
              </w:rPr>
              <w:t xml:space="preserve"> ANRE nr. 67/2018</w:t>
            </w:r>
            <w:r>
              <w:rPr>
                <w:rFonts w:ascii="Tahoma" w:hAnsi="Tahoma" w:cs="Tahoma"/>
                <w:bCs/>
              </w:rPr>
              <w:t xml:space="preserve">. </w:t>
            </w:r>
            <w:r w:rsidR="004778A6">
              <w:rPr>
                <w:rFonts w:ascii="Tahoma" w:hAnsi="Tahoma" w:cs="Tahoma"/>
                <w:bCs/>
              </w:rPr>
              <w:t xml:space="preserve">Revizia </w:t>
            </w:r>
            <w:r w:rsidR="004778A6" w:rsidRPr="004778A6">
              <w:rPr>
                <w:rFonts w:ascii="Tahoma" w:hAnsi="Tahoma" w:cs="Tahoma"/>
                <w:bCs/>
                <w:i/>
                <w:iCs/>
              </w:rPr>
              <w:t>Metodologiei de monitorizare a pietei de gaze naturale</w:t>
            </w:r>
            <w:r w:rsidR="004778A6">
              <w:rPr>
                <w:rFonts w:ascii="Tahoma" w:hAnsi="Tahoma" w:cs="Tahoma"/>
                <w:bCs/>
              </w:rPr>
              <w:t xml:space="preserve"> aprobată prin </w:t>
            </w:r>
            <w:r w:rsidR="004778A6" w:rsidRPr="00C910BE">
              <w:rPr>
                <w:rFonts w:ascii="Tahoma" w:hAnsi="Tahoma" w:cs="Tahoma"/>
                <w:bCs/>
              </w:rPr>
              <w:t>Ordin</w:t>
            </w:r>
            <w:r w:rsidR="004778A6">
              <w:rPr>
                <w:rFonts w:ascii="Tahoma" w:hAnsi="Tahoma" w:cs="Tahoma"/>
                <w:bCs/>
              </w:rPr>
              <w:t>ul</w:t>
            </w:r>
            <w:r w:rsidR="004778A6" w:rsidRPr="00C910BE">
              <w:rPr>
                <w:rFonts w:ascii="Tahoma" w:hAnsi="Tahoma" w:cs="Tahoma"/>
                <w:bCs/>
              </w:rPr>
              <w:t xml:space="preserve"> ANRE nr. </w:t>
            </w:r>
            <w:r w:rsidR="004778A6">
              <w:rPr>
                <w:rFonts w:ascii="Tahoma" w:hAnsi="Tahoma" w:cs="Tahoma"/>
                <w:bCs/>
              </w:rPr>
              <w:t>5</w:t>
            </w:r>
            <w:r w:rsidR="004778A6" w:rsidRPr="00C910BE">
              <w:rPr>
                <w:rFonts w:ascii="Tahoma" w:hAnsi="Tahoma" w:cs="Tahoma"/>
                <w:bCs/>
              </w:rPr>
              <w:t>/201</w:t>
            </w:r>
            <w:r w:rsidR="004778A6">
              <w:rPr>
                <w:rFonts w:ascii="Tahoma" w:hAnsi="Tahoma" w:cs="Tahoma"/>
                <w:bCs/>
              </w:rPr>
              <w:t>3 nu a fost finalizată încă de ANRE.</w:t>
            </w:r>
            <w:r w:rsidR="005A562E" w:rsidRPr="004778A6">
              <w:rPr>
                <w:rFonts w:ascii="Tahoma" w:hAnsi="Tahoma" w:cs="Tahoma"/>
                <w:bCs/>
              </w:rPr>
              <w:t xml:space="preserve"> </w:t>
            </w:r>
            <w:r w:rsidR="005A562E">
              <w:rPr>
                <w:rFonts w:ascii="Tahoma" w:hAnsi="Tahoma" w:cs="Tahoma"/>
                <w:bCs/>
              </w:rPr>
              <w:t xml:space="preserve">După aprobarea reviziei </w:t>
            </w:r>
            <w:r w:rsidR="005A562E" w:rsidRPr="004778A6">
              <w:rPr>
                <w:rFonts w:ascii="Tahoma" w:hAnsi="Tahoma" w:cs="Tahoma"/>
                <w:bCs/>
                <w:i/>
                <w:iCs/>
              </w:rPr>
              <w:t>Metodologiei de monitorizare a pietei de gaze naturale</w:t>
            </w:r>
            <w:r w:rsidR="005A562E">
              <w:rPr>
                <w:rFonts w:ascii="Tahoma" w:hAnsi="Tahoma" w:cs="Tahoma"/>
                <w:bCs/>
              </w:rPr>
              <w:t xml:space="preserve"> vor fi preluate </w:t>
            </w:r>
            <w:r w:rsidR="00AE189D">
              <w:rPr>
                <w:rFonts w:ascii="Tahoma" w:hAnsi="Tahoma" w:cs="Tahoma"/>
                <w:bCs/>
              </w:rPr>
              <w:t>în</w:t>
            </w:r>
            <w:r w:rsidR="005A562E">
              <w:rPr>
                <w:rFonts w:ascii="Tahoma" w:hAnsi="Tahoma" w:cs="Tahoma"/>
                <w:bCs/>
              </w:rPr>
              <w:t xml:space="preserve"> </w:t>
            </w:r>
            <w:r w:rsidR="005A562E" w:rsidRPr="005A562E">
              <w:rPr>
                <w:rFonts w:ascii="Tahoma" w:hAnsi="Tahoma" w:cs="Tahoma"/>
                <w:bCs/>
                <w:i/>
                <w:iCs/>
              </w:rPr>
              <w:t>Procedura operațională privind supravegherea funcționării piețelor administrate de energie electrică și de gaze naturale</w:t>
            </w:r>
            <w:r w:rsidR="00AE189D">
              <w:rPr>
                <w:rFonts w:ascii="Tahoma" w:hAnsi="Tahoma" w:cs="Tahoma"/>
                <w:bCs/>
              </w:rPr>
              <w:t xml:space="preserve"> eventualele modificări.</w:t>
            </w:r>
          </w:p>
          <w:p w14:paraId="3A817D63" w14:textId="77777777" w:rsidR="00A84EE4" w:rsidRDefault="00A84EE4" w:rsidP="00A61422">
            <w:pPr>
              <w:jc w:val="both"/>
              <w:rPr>
                <w:rFonts w:ascii="Tahoma" w:hAnsi="Tahoma" w:cs="Tahoma"/>
                <w:bCs/>
              </w:rPr>
            </w:pPr>
          </w:p>
          <w:p w14:paraId="4226377F" w14:textId="61E9255C" w:rsidR="00736BF2" w:rsidRPr="00C910BE" w:rsidRDefault="00736BF2" w:rsidP="005A562E">
            <w:pPr>
              <w:jc w:val="both"/>
              <w:rPr>
                <w:rFonts w:ascii="Tahoma" w:hAnsi="Tahoma" w:cs="Tahoma"/>
                <w:bCs/>
              </w:rPr>
            </w:pPr>
          </w:p>
        </w:tc>
        <w:tc>
          <w:tcPr>
            <w:tcW w:w="3372" w:type="dxa"/>
          </w:tcPr>
          <w:p w14:paraId="53C035B1" w14:textId="77777777" w:rsidR="005A562E" w:rsidRPr="005A562E" w:rsidRDefault="005A562E" w:rsidP="005A562E">
            <w:pPr>
              <w:jc w:val="both"/>
              <w:rPr>
                <w:rFonts w:ascii="Tahoma" w:hAnsi="Tahoma" w:cs="Tahoma"/>
                <w:bCs/>
              </w:rPr>
            </w:pPr>
            <w:r w:rsidRPr="005A562E">
              <w:rPr>
                <w:rFonts w:ascii="Tahoma" w:hAnsi="Tahoma" w:cs="Tahoma"/>
                <w:bCs/>
              </w:rPr>
              <w:t>4.3.</w:t>
            </w:r>
            <w:r w:rsidRPr="005A562E">
              <w:rPr>
                <w:rFonts w:ascii="Tahoma" w:hAnsi="Tahoma" w:cs="Tahoma"/>
                <w:bCs/>
              </w:rPr>
              <w:tab/>
              <w:t>Comportament de piaţă anormal - comportament caracterizat de neconcordanţa dintre intenţiile de tranzacţionare ale unui participant pe o componentă a pieţei de energie electrică, respectiv de gaze naturale într-un anumit moment (exprimate prin oferte, notificări) şi manifestările sale anterioare sau datele publice care caracterizează momentul respectiv;</w:t>
            </w:r>
          </w:p>
          <w:p w14:paraId="0FD89EE5" w14:textId="77777777" w:rsidR="005A562E" w:rsidRPr="005A562E" w:rsidRDefault="005A562E" w:rsidP="005A562E">
            <w:pPr>
              <w:jc w:val="both"/>
              <w:rPr>
                <w:rFonts w:ascii="Tahoma" w:hAnsi="Tahoma" w:cs="Tahoma"/>
                <w:bCs/>
              </w:rPr>
            </w:pPr>
            <w:r w:rsidRPr="005A562E">
              <w:rPr>
                <w:rFonts w:ascii="Tahoma" w:hAnsi="Tahoma" w:cs="Tahoma"/>
                <w:bCs/>
              </w:rPr>
              <w:t>4.4.</w:t>
            </w:r>
            <w:r w:rsidRPr="005A562E">
              <w:rPr>
                <w:rFonts w:ascii="Tahoma" w:hAnsi="Tahoma" w:cs="Tahoma"/>
                <w:bCs/>
              </w:rPr>
              <w:tab/>
              <w:t>Comportament de piaţă inadecvat - comportament care se abate de la reglementările în vigoare şi de la procedurile conexe, putând avea un efect negativ asupra eficienţei pieţei angro de energie electrică, respectiv de gaze naturale;</w:t>
            </w:r>
          </w:p>
          <w:p w14:paraId="4F2BDD46" w14:textId="045477A2" w:rsidR="00736BF2" w:rsidRPr="00A84EE4" w:rsidRDefault="005A562E" w:rsidP="005A562E">
            <w:pPr>
              <w:jc w:val="both"/>
              <w:rPr>
                <w:rFonts w:ascii="Tahoma" w:hAnsi="Tahoma" w:cs="Tahoma"/>
                <w:bCs/>
              </w:rPr>
            </w:pPr>
            <w:r w:rsidRPr="005A562E">
              <w:rPr>
                <w:rFonts w:ascii="Tahoma" w:hAnsi="Tahoma" w:cs="Tahoma"/>
                <w:bCs/>
              </w:rPr>
              <w:t>4.5.</w:t>
            </w:r>
            <w:r w:rsidRPr="005A562E">
              <w:rPr>
                <w:rFonts w:ascii="Tahoma" w:hAnsi="Tahoma" w:cs="Tahoma"/>
                <w:bCs/>
              </w:rPr>
              <w:tab/>
              <w:t>Entitate de monitorizare - entitate organizatorică distinctă la nivelul OPCOM, cu atribuţii de monitorizare a pieţelor de energie electrică și de gaze naturale aflate în administrare;</w:t>
            </w:r>
          </w:p>
        </w:tc>
      </w:tr>
      <w:tr w:rsidR="00365B5D" w:rsidRPr="00A84EE4" w14:paraId="685C0E9E" w14:textId="77777777" w:rsidTr="004F1C90">
        <w:trPr>
          <w:trHeight w:val="478"/>
          <w:jc w:val="center"/>
        </w:trPr>
        <w:tc>
          <w:tcPr>
            <w:tcW w:w="1447" w:type="dxa"/>
            <w:shd w:val="clear" w:color="auto" w:fill="auto"/>
          </w:tcPr>
          <w:p w14:paraId="2A39774A" w14:textId="54A3E9E3" w:rsidR="00365B5D" w:rsidRPr="00C910BE" w:rsidRDefault="00507062" w:rsidP="00A84EE4">
            <w:pPr>
              <w:rPr>
                <w:rFonts w:ascii="Tahoma" w:hAnsi="Tahoma" w:cs="Tahoma"/>
              </w:rPr>
            </w:pPr>
            <w:r>
              <w:rPr>
                <w:rFonts w:ascii="Tahoma" w:hAnsi="Tahoma" w:cs="Tahoma"/>
              </w:rPr>
              <w:t>Art</w:t>
            </w:r>
            <w:r w:rsidR="00D92A9A" w:rsidRPr="00D92A9A">
              <w:rPr>
                <w:rFonts w:ascii="Tahoma" w:hAnsi="Tahoma" w:cs="Tahoma"/>
              </w:rPr>
              <w:t>.5.</w:t>
            </w:r>
            <w:r w:rsidR="00AD28E1" w:rsidRPr="00D92A9A">
              <w:rPr>
                <w:rFonts w:ascii="Tahoma" w:hAnsi="Tahoma" w:cs="Tahoma"/>
              </w:rPr>
              <w:t>Documente de referință</w:t>
            </w:r>
          </w:p>
        </w:tc>
        <w:tc>
          <w:tcPr>
            <w:tcW w:w="2864" w:type="dxa"/>
            <w:shd w:val="clear" w:color="auto" w:fill="auto"/>
          </w:tcPr>
          <w:p w14:paraId="2766476D" w14:textId="77777777" w:rsidR="0043349D" w:rsidRPr="0043349D" w:rsidRDefault="0043349D" w:rsidP="00A61422">
            <w:pPr>
              <w:jc w:val="both"/>
              <w:rPr>
                <w:rFonts w:ascii="Tahoma" w:hAnsi="Tahoma" w:cs="Tahoma"/>
              </w:rPr>
            </w:pPr>
            <w:r w:rsidRPr="0043349D">
              <w:rPr>
                <w:rFonts w:ascii="Tahoma" w:hAnsi="Tahoma" w:cs="Tahoma"/>
              </w:rPr>
              <w:t>5.5.</w:t>
            </w:r>
            <w:r w:rsidRPr="0043349D">
              <w:rPr>
                <w:rFonts w:ascii="Tahoma" w:hAnsi="Tahoma" w:cs="Tahoma"/>
              </w:rPr>
              <w:tab/>
              <w:t>Convenţia de participare la Piaţa pentru Ziua Următoare;</w:t>
            </w:r>
          </w:p>
          <w:p w14:paraId="79A22C18" w14:textId="4A8D1F74" w:rsidR="0043349D" w:rsidRPr="00365B5D" w:rsidRDefault="0043349D" w:rsidP="00A61422">
            <w:pPr>
              <w:jc w:val="both"/>
              <w:rPr>
                <w:rFonts w:ascii="Tahoma" w:hAnsi="Tahoma" w:cs="Tahoma"/>
              </w:rPr>
            </w:pPr>
          </w:p>
        </w:tc>
        <w:tc>
          <w:tcPr>
            <w:tcW w:w="4082" w:type="dxa"/>
            <w:shd w:val="clear" w:color="auto" w:fill="auto"/>
          </w:tcPr>
          <w:p w14:paraId="6C3AEF98" w14:textId="6F316FE7" w:rsidR="00D92A9A" w:rsidRPr="00D92A9A" w:rsidRDefault="00D92A9A" w:rsidP="00A61422">
            <w:pPr>
              <w:autoSpaceDE w:val="0"/>
              <w:autoSpaceDN w:val="0"/>
              <w:adjustRightInd w:val="0"/>
              <w:jc w:val="both"/>
              <w:rPr>
                <w:rFonts w:ascii="Tahoma" w:hAnsi="Tahoma" w:cs="Tahoma"/>
                <w:bCs/>
              </w:rPr>
            </w:pPr>
            <w:r>
              <w:rPr>
                <w:rFonts w:ascii="Tahoma" w:hAnsi="Tahoma" w:cs="Tahoma"/>
                <w:bCs/>
              </w:rPr>
              <w:t>P</w:t>
            </w:r>
            <w:r w:rsidRPr="00D92A9A">
              <w:rPr>
                <w:rFonts w:ascii="Tahoma" w:hAnsi="Tahoma" w:cs="Tahoma"/>
                <w:bCs/>
              </w:rPr>
              <w:t>ropunem completarea pct. 5.5. si introducerea unui nou pct. 5.47, astfel:</w:t>
            </w:r>
          </w:p>
          <w:p w14:paraId="2C0678A1" w14:textId="77777777" w:rsidR="00D92A9A" w:rsidRPr="00D92A9A" w:rsidRDefault="00D92A9A" w:rsidP="00A61422">
            <w:pPr>
              <w:autoSpaceDE w:val="0"/>
              <w:autoSpaceDN w:val="0"/>
              <w:adjustRightInd w:val="0"/>
              <w:jc w:val="both"/>
              <w:rPr>
                <w:rFonts w:ascii="Tahoma" w:hAnsi="Tahoma" w:cs="Tahoma"/>
                <w:bCs/>
                <w:lang w:val="cs-CZ"/>
              </w:rPr>
            </w:pPr>
            <w:r w:rsidRPr="00D92A9A">
              <w:rPr>
                <w:rFonts w:ascii="Tahoma" w:hAnsi="Tahoma" w:cs="Tahoma"/>
              </w:rPr>
              <w:t>5.5.</w:t>
            </w:r>
            <w:r w:rsidRPr="00D92A9A">
              <w:rPr>
                <w:rFonts w:ascii="Tahoma" w:hAnsi="Tahoma" w:cs="Tahoma"/>
                <w:b/>
                <w:bCs/>
              </w:rPr>
              <w:t xml:space="preserve"> </w:t>
            </w:r>
            <w:r w:rsidRPr="00D92A9A">
              <w:rPr>
                <w:rFonts w:ascii="Tahoma" w:hAnsi="Tahoma" w:cs="Tahoma"/>
                <w:bCs/>
              </w:rPr>
              <w:t xml:space="preserve">Convenția de participare la Piața pentru Ziua Următoare </w:t>
            </w:r>
            <w:r w:rsidRPr="00D92A9A">
              <w:rPr>
                <w:rFonts w:ascii="Tahoma" w:hAnsi="Tahoma" w:cs="Tahoma"/>
                <w:b/>
                <w:bCs/>
              </w:rPr>
              <w:t>de energie electrică</w:t>
            </w:r>
            <w:r w:rsidRPr="00D92A9A">
              <w:rPr>
                <w:rFonts w:ascii="Tahoma" w:hAnsi="Tahoma" w:cs="Tahoma"/>
                <w:bCs/>
              </w:rPr>
              <w:t>;</w:t>
            </w:r>
          </w:p>
          <w:p w14:paraId="0F4E8D3C" w14:textId="77777777" w:rsidR="00D92A9A" w:rsidRPr="00D92A9A" w:rsidRDefault="00D92A9A" w:rsidP="00A61422">
            <w:pPr>
              <w:autoSpaceDE w:val="0"/>
              <w:autoSpaceDN w:val="0"/>
              <w:adjustRightInd w:val="0"/>
              <w:jc w:val="both"/>
              <w:rPr>
                <w:rFonts w:ascii="Tahoma" w:hAnsi="Tahoma" w:cs="Tahoma"/>
                <w:b/>
                <w:bCs/>
              </w:rPr>
            </w:pPr>
            <w:r w:rsidRPr="00D92A9A">
              <w:rPr>
                <w:rFonts w:ascii="Tahoma" w:hAnsi="Tahoma" w:cs="Tahoma"/>
                <w:b/>
                <w:bCs/>
              </w:rPr>
              <w:t>5.47. Procedura privind funcționarea pieței intrazilnice de gaze naturale.</w:t>
            </w:r>
          </w:p>
          <w:p w14:paraId="5D82893B" w14:textId="30367EB7" w:rsidR="00365B5D" w:rsidRDefault="00507062" w:rsidP="00A61422">
            <w:pPr>
              <w:jc w:val="both"/>
              <w:rPr>
                <w:rFonts w:ascii="Tahoma" w:hAnsi="Tahoma" w:cs="Tahoma"/>
              </w:rPr>
            </w:pPr>
            <w:r>
              <w:rPr>
                <w:rFonts w:ascii="Tahoma" w:hAnsi="Tahoma" w:cs="Tahoma"/>
              </w:rPr>
              <w:t>(AFEER)</w:t>
            </w:r>
          </w:p>
        </w:tc>
        <w:tc>
          <w:tcPr>
            <w:tcW w:w="3260" w:type="dxa"/>
          </w:tcPr>
          <w:p w14:paraId="73D787A7" w14:textId="77777777" w:rsidR="00365B5D" w:rsidRDefault="00365B5D" w:rsidP="00A61422">
            <w:pPr>
              <w:jc w:val="both"/>
              <w:rPr>
                <w:rFonts w:ascii="Tahoma" w:hAnsi="Tahoma" w:cs="Tahoma"/>
                <w:bCs/>
              </w:rPr>
            </w:pPr>
          </w:p>
        </w:tc>
        <w:tc>
          <w:tcPr>
            <w:tcW w:w="3372" w:type="dxa"/>
          </w:tcPr>
          <w:p w14:paraId="27290BAB" w14:textId="77777777" w:rsidR="00D92A9A" w:rsidRPr="00D92A9A" w:rsidRDefault="00D92A9A" w:rsidP="00A61422">
            <w:pPr>
              <w:jc w:val="both"/>
              <w:rPr>
                <w:rFonts w:ascii="Tahoma" w:hAnsi="Tahoma" w:cs="Tahoma"/>
                <w:bCs/>
              </w:rPr>
            </w:pPr>
            <w:r w:rsidRPr="00D92A9A">
              <w:rPr>
                <w:rFonts w:ascii="Tahoma" w:hAnsi="Tahoma" w:cs="Tahoma"/>
                <w:bCs/>
              </w:rPr>
              <w:t>5.5. Convenția de participare la Piața pentru Ziua Următoare de energie electrică;</w:t>
            </w:r>
          </w:p>
          <w:p w14:paraId="2E7C0F19" w14:textId="6CB17284" w:rsidR="00365B5D" w:rsidRPr="004778A6" w:rsidRDefault="00D92A9A" w:rsidP="00A61422">
            <w:pPr>
              <w:jc w:val="both"/>
              <w:rPr>
                <w:rFonts w:ascii="Tahoma" w:hAnsi="Tahoma" w:cs="Tahoma"/>
                <w:bCs/>
              </w:rPr>
            </w:pPr>
            <w:r w:rsidRPr="00D92A9A">
              <w:rPr>
                <w:rFonts w:ascii="Tahoma" w:hAnsi="Tahoma" w:cs="Tahoma"/>
                <w:bCs/>
              </w:rPr>
              <w:t>5.47. Procedura privind funcționarea pieței intrazilnice de gaze naturale.</w:t>
            </w:r>
          </w:p>
        </w:tc>
      </w:tr>
      <w:tr w:rsidR="00CB0D9C" w:rsidRPr="00A84EE4" w14:paraId="3C6E44A8" w14:textId="77777777" w:rsidTr="004F1C90">
        <w:trPr>
          <w:trHeight w:val="478"/>
          <w:jc w:val="center"/>
        </w:trPr>
        <w:tc>
          <w:tcPr>
            <w:tcW w:w="1447" w:type="dxa"/>
            <w:shd w:val="clear" w:color="auto" w:fill="auto"/>
          </w:tcPr>
          <w:p w14:paraId="1488C788" w14:textId="6F459144" w:rsidR="00CB0D9C" w:rsidRPr="00D92A9A" w:rsidRDefault="00507062" w:rsidP="00A84EE4">
            <w:pPr>
              <w:rPr>
                <w:rFonts w:ascii="Tahoma" w:hAnsi="Tahoma" w:cs="Tahoma"/>
              </w:rPr>
            </w:pPr>
            <w:r>
              <w:rPr>
                <w:rFonts w:ascii="Tahoma" w:hAnsi="Tahoma" w:cs="Tahoma"/>
              </w:rPr>
              <w:t>Art</w:t>
            </w:r>
            <w:r w:rsidR="00CB0D9C" w:rsidRPr="00CB0D9C">
              <w:rPr>
                <w:rFonts w:ascii="Tahoma" w:hAnsi="Tahoma" w:cs="Tahoma"/>
              </w:rPr>
              <w:t xml:space="preserve">.7. </w:t>
            </w:r>
            <w:r w:rsidR="00AD28E1" w:rsidRPr="00CB0D9C">
              <w:rPr>
                <w:rFonts w:ascii="Tahoma" w:hAnsi="Tahoma" w:cs="Tahoma"/>
              </w:rPr>
              <w:t>Mod de lucru</w:t>
            </w:r>
          </w:p>
        </w:tc>
        <w:tc>
          <w:tcPr>
            <w:tcW w:w="2864" w:type="dxa"/>
            <w:shd w:val="clear" w:color="auto" w:fill="auto"/>
          </w:tcPr>
          <w:p w14:paraId="5E5B74B6" w14:textId="0504AE79" w:rsidR="00CB0D9C" w:rsidRPr="00CB0D9C" w:rsidRDefault="00507062" w:rsidP="00A61422">
            <w:pPr>
              <w:jc w:val="both"/>
              <w:rPr>
                <w:rFonts w:ascii="Tahoma" w:hAnsi="Tahoma" w:cs="Tahoma"/>
                <w:bCs/>
              </w:rPr>
            </w:pPr>
            <w:r w:rsidRPr="00507062">
              <w:rPr>
                <w:rFonts w:ascii="Tahoma" w:hAnsi="Tahoma" w:cs="Tahoma"/>
                <w:bCs/>
              </w:rPr>
              <w:t>7.2.7.8. Situaţiile de nesemnare a Formularului de confirmare a tranzacţiilor transmis de OP-OTC şi/sau neasumarea tranzacţiilor încheiate pe PC-OTC;”</w:t>
            </w:r>
          </w:p>
        </w:tc>
        <w:tc>
          <w:tcPr>
            <w:tcW w:w="4082" w:type="dxa"/>
            <w:shd w:val="clear" w:color="auto" w:fill="auto"/>
          </w:tcPr>
          <w:p w14:paraId="6444B436" w14:textId="77777777" w:rsidR="00CB0D9C" w:rsidRDefault="00CB0D9C" w:rsidP="00A61422">
            <w:pPr>
              <w:autoSpaceDE w:val="0"/>
              <w:autoSpaceDN w:val="0"/>
              <w:adjustRightInd w:val="0"/>
              <w:jc w:val="both"/>
              <w:rPr>
                <w:rFonts w:ascii="Tahoma" w:hAnsi="Tahoma" w:cs="Tahoma"/>
                <w:bCs/>
              </w:rPr>
            </w:pPr>
            <w:r w:rsidRPr="00CB0D9C">
              <w:rPr>
                <w:rFonts w:ascii="Tahoma" w:hAnsi="Tahoma" w:cs="Tahoma"/>
                <w:bCs/>
              </w:rPr>
              <w:t>Propunem renuntarea la pct. 7.2.7.8. astfel:</w:t>
            </w:r>
          </w:p>
          <w:p w14:paraId="0A3B3F7C" w14:textId="77777777" w:rsidR="00CB0D9C" w:rsidRDefault="00CB0D9C" w:rsidP="00A61422">
            <w:pPr>
              <w:autoSpaceDE w:val="0"/>
              <w:autoSpaceDN w:val="0"/>
              <w:adjustRightInd w:val="0"/>
              <w:jc w:val="both"/>
              <w:rPr>
                <w:rFonts w:ascii="Tahoma" w:hAnsi="Tahoma" w:cs="Tahoma"/>
                <w:bCs/>
              </w:rPr>
            </w:pPr>
            <w:r w:rsidRPr="00CB0D9C">
              <w:rPr>
                <w:rFonts w:ascii="Tahoma" w:hAnsi="Tahoma" w:cs="Tahoma"/>
                <w:bCs/>
              </w:rPr>
              <w:t>“</w:t>
            </w:r>
            <w:r w:rsidRPr="00507062">
              <w:rPr>
                <w:rFonts w:ascii="Tahoma" w:hAnsi="Tahoma" w:cs="Tahoma"/>
                <w:bCs/>
                <w:strike/>
              </w:rPr>
              <w:t>7.2.7.8. Situaţiile de nesemnare a Formularului de confirmare a tranzacţiilor transmis de OP-OTC şi/sau neasumarea tranzacţiilor încheiate pe PC-OTC;</w:t>
            </w:r>
            <w:r w:rsidRPr="00507062">
              <w:rPr>
                <w:rFonts w:ascii="Tahoma" w:hAnsi="Tahoma" w:cs="Tahoma"/>
                <w:bCs/>
              </w:rPr>
              <w:t>”</w:t>
            </w:r>
          </w:p>
          <w:p w14:paraId="5282A016" w14:textId="77777777" w:rsidR="00507062" w:rsidRDefault="00507062" w:rsidP="00A61422">
            <w:pPr>
              <w:autoSpaceDE w:val="0"/>
              <w:autoSpaceDN w:val="0"/>
              <w:adjustRightInd w:val="0"/>
              <w:jc w:val="both"/>
              <w:rPr>
                <w:rFonts w:ascii="Tahoma" w:hAnsi="Tahoma" w:cs="Tahoma"/>
                <w:bCs/>
              </w:rPr>
            </w:pPr>
            <w:r>
              <w:rPr>
                <w:rFonts w:ascii="Tahoma" w:hAnsi="Tahoma" w:cs="Tahoma"/>
                <w:bCs/>
              </w:rPr>
              <w:t>(AFEER)</w:t>
            </w:r>
          </w:p>
          <w:p w14:paraId="75994ED1" w14:textId="5521A302" w:rsidR="00507062" w:rsidRPr="00507062" w:rsidRDefault="00507062" w:rsidP="00A61422">
            <w:pPr>
              <w:autoSpaceDE w:val="0"/>
              <w:autoSpaceDN w:val="0"/>
              <w:adjustRightInd w:val="0"/>
              <w:jc w:val="both"/>
              <w:rPr>
                <w:rFonts w:ascii="Tahoma" w:hAnsi="Tahoma" w:cs="Tahoma"/>
                <w:bCs/>
                <w:i/>
                <w:iCs/>
              </w:rPr>
            </w:pPr>
            <w:r w:rsidRPr="00507062">
              <w:rPr>
                <w:rFonts w:ascii="Tahoma" w:hAnsi="Tahoma" w:cs="Tahoma"/>
                <w:bCs/>
                <w:i/>
                <w:iCs/>
              </w:rPr>
              <w:t>Motivație: conform prevederilor Procedurii operaționale privind modalitatea de tranzacționare pe piața centralizată cu negociere dublă continuă, avizată de ANRE prin Avizul nr. 31/19.07.2018, Formularul de confirmare a tranzacțiilor transmis de OP-OTC nu se mai reîntoarce la acesta fie că a fost semnat sau nu; conceptul de „neasumare a tranzacțiilor” nu este tratat în nicio procedură/convenție/regulament în vigoare.</w:t>
            </w:r>
          </w:p>
        </w:tc>
        <w:tc>
          <w:tcPr>
            <w:tcW w:w="3260" w:type="dxa"/>
          </w:tcPr>
          <w:p w14:paraId="1571ACED" w14:textId="77777777" w:rsidR="00CB0D9C" w:rsidRDefault="00CB0D9C" w:rsidP="00A61422">
            <w:pPr>
              <w:jc w:val="both"/>
              <w:rPr>
                <w:rFonts w:ascii="Tahoma" w:hAnsi="Tahoma" w:cs="Tahoma"/>
                <w:bCs/>
              </w:rPr>
            </w:pPr>
          </w:p>
        </w:tc>
        <w:tc>
          <w:tcPr>
            <w:tcW w:w="3372" w:type="dxa"/>
          </w:tcPr>
          <w:p w14:paraId="4503C375" w14:textId="030DAC73" w:rsidR="00CB0D9C" w:rsidRPr="00D92A9A" w:rsidRDefault="00507062" w:rsidP="00A61422">
            <w:pPr>
              <w:jc w:val="both"/>
              <w:rPr>
                <w:rFonts w:ascii="Tahoma" w:hAnsi="Tahoma" w:cs="Tahoma"/>
                <w:bCs/>
              </w:rPr>
            </w:pPr>
            <w:r>
              <w:rPr>
                <w:rFonts w:ascii="Tahoma" w:hAnsi="Tahoma" w:cs="Tahoma"/>
                <w:bCs/>
              </w:rPr>
              <w:t>Art</w:t>
            </w:r>
            <w:r w:rsidRPr="00507062">
              <w:rPr>
                <w:rFonts w:ascii="Tahoma" w:hAnsi="Tahoma" w:cs="Tahoma"/>
                <w:bCs/>
              </w:rPr>
              <w:t>. 7.2.7.8.</w:t>
            </w:r>
            <w:r>
              <w:rPr>
                <w:rFonts w:ascii="Tahoma" w:hAnsi="Tahoma" w:cs="Tahoma"/>
                <w:bCs/>
              </w:rPr>
              <w:t xml:space="preserve"> a fost eliminat</w:t>
            </w:r>
            <w:r w:rsidR="00A61422">
              <w:rPr>
                <w:rFonts w:ascii="Tahoma" w:hAnsi="Tahoma" w:cs="Tahoma"/>
                <w:bCs/>
              </w:rPr>
              <w:t>.</w:t>
            </w:r>
          </w:p>
        </w:tc>
      </w:tr>
      <w:tr w:rsidR="00507062" w:rsidRPr="00A84EE4" w14:paraId="0B1A9ABD" w14:textId="77777777" w:rsidTr="004F1C90">
        <w:trPr>
          <w:trHeight w:val="478"/>
          <w:jc w:val="center"/>
        </w:trPr>
        <w:tc>
          <w:tcPr>
            <w:tcW w:w="1447" w:type="dxa"/>
            <w:shd w:val="clear" w:color="auto" w:fill="auto"/>
          </w:tcPr>
          <w:p w14:paraId="2BDEB4E6" w14:textId="34F15B95" w:rsidR="00507062" w:rsidRPr="00CB0D9C" w:rsidRDefault="00A61422" w:rsidP="00A84EE4">
            <w:pPr>
              <w:rPr>
                <w:rFonts w:ascii="Tahoma" w:hAnsi="Tahoma" w:cs="Tahoma"/>
              </w:rPr>
            </w:pPr>
            <w:r>
              <w:rPr>
                <w:rFonts w:ascii="Tahoma" w:hAnsi="Tahoma" w:cs="Tahoma"/>
              </w:rPr>
              <w:t>Art</w:t>
            </w:r>
            <w:r w:rsidRPr="00A61422">
              <w:rPr>
                <w:rFonts w:ascii="Tahoma" w:hAnsi="Tahoma" w:cs="Tahoma"/>
              </w:rPr>
              <w:t xml:space="preserve">.9. </w:t>
            </w:r>
            <w:r w:rsidR="00AD28E1" w:rsidRPr="00A61422">
              <w:rPr>
                <w:rFonts w:ascii="Tahoma" w:hAnsi="Tahoma" w:cs="Tahoma"/>
              </w:rPr>
              <w:t>Prevederi finale</w:t>
            </w:r>
          </w:p>
        </w:tc>
        <w:tc>
          <w:tcPr>
            <w:tcW w:w="2864" w:type="dxa"/>
            <w:shd w:val="clear" w:color="auto" w:fill="auto"/>
          </w:tcPr>
          <w:p w14:paraId="19CEA7E9" w14:textId="64E3F1D3" w:rsidR="00507062" w:rsidRPr="00507062" w:rsidRDefault="00A61422" w:rsidP="00A61422">
            <w:pPr>
              <w:jc w:val="both"/>
              <w:rPr>
                <w:rFonts w:ascii="Tahoma" w:hAnsi="Tahoma" w:cs="Tahoma"/>
                <w:bCs/>
              </w:rPr>
            </w:pPr>
            <w:r w:rsidRPr="00A61422">
              <w:rPr>
                <w:rFonts w:ascii="Tahoma" w:hAnsi="Tahoma" w:cs="Tahoma"/>
                <w:bCs/>
              </w:rPr>
              <w:t xml:space="preserve">În scopul menţinerii consistenţei cu activităţile sale de monitorizare şi bazat pe experienţa acumulată sau la solicitarea Autorităţii competente, OPCOM SA poate propune modificarea prezentei proceduri ori de cate ori consideră necesară această masură.  </w:t>
            </w:r>
          </w:p>
        </w:tc>
        <w:tc>
          <w:tcPr>
            <w:tcW w:w="4082" w:type="dxa"/>
            <w:shd w:val="clear" w:color="auto" w:fill="auto"/>
          </w:tcPr>
          <w:p w14:paraId="015D7BFE" w14:textId="0E8E901A" w:rsidR="00A61422" w:rsidRPr="00A61422" w:rsidRDefault="00A61422" w:rsidP="00A61422">
            <w:pPr>
              <w:autoSpaceDE w:val="0"/>
              <w:autoSpaceDN w:val="0"/>
              <w:adjustRightInd w:val="0"/>
              <w:jc w:val="both"/>
              <w:rPr>
                <w:rFonts w:ascii="Tahoma" w:hAnsi="Tahoma" w:cs="Tahoma"/>
                <w:bCs/>
              </w:rPr>
            </w:pPr>
            <w:r w:rsidRPr="00A61422">
              <w:rPr>
                <w:rFonts w:ascii="Tahoma" w:hAnsi="Tahoma" w:cs="Tahoma"/>
              </w:rPr>
              <w:t>P</w:t>
            </w:r>
            <w:r w:rsidRPr="00A61422">
              <w:rPr>
                <w:rFonts w:ascii="Tahoma" w:hAnsi="Tahoma" w:cs="Tahoma"/>
                <w:bCs/>
              </w:rPr>
              <w:t>ropunem completarea astfel:</w:t>
            </w:r>
          </w:p>
          <w:p w14:paraId="7A6A755E" w14:textId="484D4B79" w:rsidR="00A61422" w:rsidRPr="006834C9" w:rsidRDefault="00A61422" w:rsidP="00A61422">
            <w:pPr>
              <w:jc w:val="both"/>
              <w:rPr>
                <w:rFonts w:ascii="Tahoma" w:hAnsi="Tahoma" w:cs="Tahoma"/>
              </w:rPr>
            </w:pPr>
            <w:r w:rsidRPr="00373DA0">
              <w:rPr>
                <w:rFonts w:ascii="Tahoma" w:hAnsi="Tahoma" w:cs="Tahoma"/>
                <w:b/>
                <w:bCs/>
              </w:rPr>
              <w:t>9.1.</w:t>
            </w:r>
            <w:r w:rsidR="00E81909" w:rsidRPr="00373DA0">
              <w:rPr>
                <w:rFonts w:ascii="Tahoma" w:hAnsi="Tahoma" w:cs="Tahoma"/>
                <w:b/>
                <w:bCs/>
              </w:rPr>
              <w:t xml:space="preserve"> </w:t>
            </w:r>
            <w:r w:rsidRPr="006834C9">
              <w:rPr>
                <w:rFonts w:ascii="Tahoma" w:hAnsi="Tahoma" w:cs="Tahoma"/>
              </w:rPr>
              <w:t>În scopul menţinerii consistenţei cu activităţile sale de monitorizare şi bazat pe experienţa acumulată OPCOM SA poate propune modificarea prezentei proceduri ori de cate ori consideră necesară această măsură.</w:t>
            </w:r>
          </w:p>
          <w:p w14:paraId="61259CE5" w14:textId="77777777" w:rsidR="00A61422" w:rsidRPr="00373DA0" w:rsidRDefault="00A61422" w:rsidP="00A61422">
            <w:pPr>
              <w:jc w:val="both"/>
              <w:rPr>
                <w:rFonts w:ascii="Tahoma" w:hAnsi="Tahoma" w:cs="Tahoma"/>
                <w:b/>
                <w:bCs/>
              </w:rPr>
            </w:pPr>
            <w:r w:rsidRPr="00373DA0">
              <w:rPr>
                <w:rFonts w:ascii="Tahoma" w:hAnsi="Tahoma" w:cs="Tahoma"/>
                <w:b/>
                <w:bCs/>
              </w:rPr>
              <w:t xml:space="preserve">9.2. </w:t>
            </w:r>
            <w:bookmarkStart w:id="2" w:name="_Hlk17274748"/>
            <w:r w:rsidRPr="00373DA0">
              <w:rPr>
                <w:rFonts w:ascii="Tahoma" w:hAnsi="Tahoma" w:cs="Tahoma"/>
                <w:b/>
                <w:bCs/>
              </w:rPr>
              <w:t>OPCOM modifică prezenta procedură la solicitarea Autorităţii competente.</w:t>
            </w:r>
          </w:p>
          <w:p w14:paraId="45116B47" w14:textId="77777777" w:rsidR="00E81909" w:rsidRPr="00373DA0" w:rsidRDefault="00A61422" w:rsidP="00A61422">
            <w:pPr>
              <w:jc w:val="both"/>
              <w:rPr>
                <w:rFonts w:ascii="Tahoma" w:hAnsi="Tahoma" w:cs="Tahoma"/>
                <w:b/>
                <w:bCs/>
              </w:rPr>
            </w:pPr>
            <w:r w:rsidRPr="00373DA0">
              <w:rPr>
                <w:rFonts w:ascii="Tahoma" w:hAnsi="Tahoma" w:cs="Tahoma"/>
                <w:b/>
                <w:bCs/>
              </w:rPr>
              <w:t>9.3. OPCOM poate propune modificarea prezentei proceduri după consultarea publică, în urma primirii unei propuneri justificate din partea oricărui participant la cel puțin una din piețele administrate de OPCOM.</w:t>
            </w:r>
            <w:bookmarkEnd w:id="2"/>
            <w:r w:rsidR="00E81909" w:rsidRPr="00373DA0">
              <w:rPr>
                <w:rFonts w:ascii="Tahoma" w:hAnsi="Tahoma" w:cs="Tahoma"/>
                <w:b/>
                <w:bCs/>
              </w:rPr>
              <w:t xml:space="preserve"> </w:t>
            </w:r>
          </w:p>
          <w:p w14:paraId="7B00EB68" w14:textId="4FB3F02A" w:rsidR="00A61422" w:rsidRPr="00A61422" w:rsidRDefault="00E81909" w:rsidP="00A61422">
            <w:pPr>
              <w:jc w:val="both"/>
              <w:rPr>
                <w:rFonts w:ascii="Tahoma" w:hAnsi="Tahoma" w:cs="Tahoma"/>
              </w:rPr>
            </w:pPr>
            <w:r>
              <w:rPr>
                <w:rFonts w:ascii="Tahoma" w:hAnsi="Tahoma" w:cs="Tahoma"/>
              </w:rPr>
              <w:t>(AFEER)</w:t>
            </w:r>
          </w:p>
          <w:p w14:paraId="6D53FC66" w14:textId="77777777" w:rsidR="00A61422" w:rsidRPr="00A61422" w:rsidRDefault="00A61422" w:rsidP="00A61422">
            <w:pPr>
              <w:jc w:val="both"/>
              <w:rPr>
                <w:rFonts w:ascii="Tahoma" w:hAnsi="Tahoma" w:cs="Tahoma"/>
                <w:bCs/>
              </w:rPr>
            </w:pPr>
          </w:p>
          <w:p w14:paraId="280C4CA5" w14:textId="4A06CC91" w:rsidR="00507062" w:rsidRPr="00A61422" w:rsidRDefault="00A61422" w:rsidP="00A61422">
            <w:pPr>
              <w:autoSpaceDE w:val="0"/>
              <w:autoSpaceDN w:val="0"/>
              <w:adjustRightInd w:val="0"/>
              <w:jc w:val="both"/>
              <w:rPr>
                <w:rFonts w:ascii="Tahoma" w:hAnsi="Tahoma" w:cs="Tahoma"/>
                <w:i/>
                <w:iCs/>
              </w:rPr>
            </w:pPr>
            <w:r w:rsidRPr="00A61422">
              <w:rPr>
                <w:rFonts w:ascii="Tahoma" w:hAnsi="Tahoma" w:cs="Tahoma"/>
                <w:i/>
                <w:iCs/>
              </w:rPr>
              <w:t>Motivație: respectarea dreptului participantului la piețele administrate de S.C. Opcom S.A. de a transmite propuneri care să conducă la o funcționare mai eficientă a piețelor administrate, pe baza experienței proprii.</w:t>
            </w:r>
          </w:p>
        </w:tc>
        <w:tc>
          <w:tcPr>
            <w:tcW w:w="3260" w:type="dxa"/>
          </w:tcPr>
          <w:p w14:paraId="3A7F40BF" w14:textId="77777777" w:rsidR="00507062" w:rsidRDefault="00375E64" w:rsidP="00A61422">
            <w:pPr>
              <w:jc w:val="both"/>
              <w:rPr>
                <w:rFonts w:ascii="Tahoma" w:hAnsi="Tahoma" w:cs="Tahoma"/>
                <w:bCs/>
              </w:rPr>
            </w:pPr>
            <w:r>
              <w:rPr>
                <w:rFonts w:ascii="Tahoma" w:hAnsi="Tahoma" w:cs="Tahoma"/>
                <w:bCs/>
              </w:rPr>
              <w:t xml:space="preserve">Completarea observatiei primite astfel: </w:t>
            </w:r>
          </w:p>
          <w:p w14:paraId="3EADB59E" w14:textId="77777777" w:rsidR="00375E64" w:rsidRDefault="00375E64" w:rsidP="00A61422">
            <w:pPr>
              <w:jc w:val="both"/>
              <w:rPr>
                <w:rFonts w:ascii="Tahoma" w:hAnsi="Tahoma" w:cs="Tahoma"/>
                <w:bCs/>
              </w:rPr>
            </w:pPr>
          </w:p>
          <w:p w14:paraId="291D40AC" w14:textId="77777777" w:rsidR="00375E64" w:rsidRPr="00375E64" w:rsidRDefault="00375E64" w:rsidP="00375E64">
            <w:pPr>
              <w:jc w:val="both"/>
              <w:rPr>
                <w:rFonts w:ascii="Tahoma" w:hAnsi="Tahoma" w:cs="Tahoma"/>
                <w:b/>
                <w:bCs/>
              </w:rPr>
            </w:pPr>
            <w:r w:rsidRPr="00A61422">
              <w:rPr>
                <w:rFonts w:ascii="Tahoma" w:hAnsi="Tahoma" w:cs="Tahoma"/>
              </w:rPr>
              <w:t>9.3. OPCOM poate propune modificarea prezentei proceduri după consultarea publică, în urma primirii unei propuneri justificate din partea oricărui participant la cel puțin una din piețele administrate de OPCOM</w:t>
            </w:r>
            <w:r>
              <w:rPr>
                <w:rFonts w:ascii="Tahoma" w:hAnsi="Tahoma" w:cs="Tahoma"/>
              </w:rPr>
              <w:t xml:space="preserve">, </w:t>
            </w:r>
            <w:r w:rsidRPr="00375E64">
              <w:rPr>
                <w:rFonts w:ascii="Tahoma" w:hAnsi="Tahoma" w:cs="Tahoma"/>
                <w:b/>
                <w:bCs/>
              </w:rPr>
              <w:t>cu luarea în considerare a necesității menținerii permanente a conformității cu prevederile metodologiilor de monitorizare a piețelor de energie în vigoare, a altor documente relevante în acest sens.</w:t>
            </w:r>
          </w:p>
          <w:p w14:paraId="7AE515DA" w14:textId="3EE3A7EB" w:rsidR="00375E64" w:rsidRDefault="00375E64" w:rsidP="00A61422">
            <w:pPr>
              <w:jc w:val="both"/>
              <w:rPr>
                <w:rFonts w:ascii="Tahoma" w:hAnsi="Tahoma" w:cs="Tahoma"/>
                <w:bCs/>
              </w:rPr>
            </w:pPr>
          </w:p>
        </w:tc>
        <w:tc>
          <w:tcPr>
            <w:tcW w:w="3372" w:type="dxa"/>
          </w:tcPr>
          <w:p w14:paraId="15581EAC" w14:textId="77777777" w:rsidR="00791B47" w:rsidRPr="00A61422" w:rsidRDefault="00791B47" w:rsidP="00791B47">
            <w:pPr>
              <w:autoSpaceDE w:val="0"/>
              <w:autoSpaceDN w:val="0"/>
              <w:adjustRightInd w:val="0"/>
              <w:jc w:val="both"/>
              <w:rPr>
                <w:rFonts w:ascii="Tahoma" w:hAnsi="Tahoma" w:cs="Tahoma"/>
                <w:bCs/>
              </w:rPr>
            </w:pPr>
            <w:r w:rsidRPr="00A61422">
              <w:rPr>
                <w:rFonts w:ascii="Tahoma" w:hAnsi="Tahoma" w:cs="Tahoma"/>
              </w:rPr>
              <w:t>P</w:t>
            </w:r>
            <w:r w:rsidRPr="00A61422">
              <w:rPr>
                <w:rFonts w:ascii="Tahoma" w:hAnsi="Tahoma" w:cs="Tahoma"/>
                <w:bCs/>
              </w:rPr>
              <w:t>ropunem completarea astfel:</w:t>
            </w:r>
          </w:p>
          <w:p w14:paraId="353ED0C5" w14:textId="77777777" w:rsidR="00E81909" w:rsidRPr="00A61422" w:rsidRDefault="00E81909" w:rsidP="00E81909">
            <w:pPr>
              <w:jc w:val="both"/>
              <w:rPr>
                <w:rFonts w:ascii="Tahoma" w:hAnsi="Tahoma" w:cs="Tahoma"/>
              </w:rPr>
            </w:pPr>
            <w:r w:rsidRPr="00A61422">
              <w:rPr>
                <w:rFonts w:ascii="Tahoma" w:hAnsi="Tahoma" w:cs="Tahoma"/>
              </w:rPr>
              <w:t>9.1.</w:t>
            </w:r>
            <w:r>
              <w:rPr>
                <w:rFonts w:ascii="Tahoma" w:hAnsi="Tahoma" w:cs="Tahoma"/>
              </w:rPr>
              <w:t xml:space="preserve"> </w:t>
            </w:r>
            <w:r w:rsidRPr="00A61422">
              <w:rPr>
                <w:rFonts w:ascii="Tahoma" w:hAnsi="Tahoma" w:cs="Tahoma"/>
              </w:rPr>
              <w:t>În scopul menţinerii consistenţei cu activităţile sale de monitorizare şi bazat pe experienţa acumulată OPCOM SA poate propune modificarea prezentei proceduri ori de cate ori consideră necesară această măsură.</w:t>
            </w:r>
          </w:p>
          <w:p w14:paraId="45DBF540" w14:textId="77777777" w:rsidR="00E81909" w:rsidRPr="00A61422" w:rsidRDefault="00E81909" w:rsidP="00E81909">
            <w:pPr>
              <w:jc w:val="both"/>
              <w:rPr>
                <w:rFonts w:ascii="Tahoma" w:hAnsi="Tahoma" w:cs="Tahoma"/>
              </w:rPr>
            </w:pPr>
            <w:r w:rsidRPr="00A61422">
              <w:rPr>
                <w:rFonts w:ascii="Tahoma" w:hAnsi="Tahoma" w:cs="Tahoma"/>
              </w:rPr>
              <w:t>9.2. OPCOM modifică prezenta procedură la solicitarea Autorităţii competente.</w:t>
            </w:r>
          </w:p>
          <w:p w14:paraId="225C705E" w14:textId="702F22D5" w:rsidR="00E81909" w:rsidRDefault="00E81909" w:rsidP="00E81909">
            <w:pPr>
              <w:jc w:val="both"/>
              <w:rPr>
                <w:rFonts w:ascii="Tahoma" w:hAnsi="Tahoma" w:cs="Tahoma"/>
              </w:rPr>
            </w:pPr>
            <w:r w:rsidRPr="00A61422">
              <w:rPr>
                <w:rFonts w:ascii="Tahoma" w:hAnsi="Tahoma" w:cs="Tahoma"/>
              </w:rPr>
              <w:t>9.3. OPCOM poate propune modificarea prezentei proceduri după consultarea publică, în urma primirii unei propuneri justificate din partea oricărui participant la cel puțin una din piețele administrate de OPCOM</w:t>
            </w:r>
            <w:r w:rsidR="00791B47">
              <w:rPr>
                <w:rFonts w:ascii="Tahoma" w:hAnsi="Tahoma" w:cs="Tahoma"/>
              </w:rPr>
              <w:t xml:space="preserve">, </w:t>
            </w:r>
            <w:r w:rsidR="00791B47" w:rsidRPr="00375E64">
              <w:rPr>
                <w:rFonts w:ascii="Tahoma" w:hAnsi="Tahoma" w:cs="Tahoma"/>
              </w:rPr>
              <w:t xml:space="preserve">cu luarea în considerare a necesității menținerii permanente a conformității cu </w:t>
            </w:r>
            <w:r w:rsidR="004F1C90" w:rsidRPr="00375E64">
              <w:rPr>
                <w:rFonts w:ascii="Tahoma" w:hAnsi="Tahoma" w:cs="Tahoma"/>
              </w:rPr>
              <w:t xml:space="preserve">prevederile metodologiilor </w:t>
            </w:r>
            <w:r w:rsidR="004F1C90" w:rsidRPr="00375E64">
              <w:rPr>
                <w:rFonts w:ascii="Tahoma" w:hAnsi="Tahoma" w:cs="Tahoma"/>
              </w:rPr>
              <w:t>de monitorizare a pie</w:t>
            </w:r>
            <w:r w:rsidR="004F1C90" w:rsidRPr="00375E64">
              <w:rPr>
                <w:rFonts w:ascii="Tahoma" w:hAnsi="Tahoma" w:cs="Tahoma"/>
              </w:rPr>
              <w:t>ț</w:t>
            </w:r>
            <w:r w:rsidR="004F1C90" w:rsidRPr="00375E64">
              <w:rPr>
                <w:rFonts w:ascii="Tahoma" w:hAnsi="Tahoma" w:cs="Tahoma"/>
              </w:rPr>
              <w:t>e</w:t>
            </w:r>
            <w:r w:rsidR="004F1C90" w:rsidRPr="00375E64">
              <w:rPr>
                <w:rFonts w:ascii="Tahoma" w:hAnsi="Tahoma" w:cs="Tahoma"/>
              </w:rPr>
              <w:t xml:space="preserve">lor </w:t>
            </w:r>
            <w:r w:rsidR="004F1C90" w:rsidRPr="00375E64">
              <w:rPr>
                <w:rFonts w:ascii="Tahoma" w:hAnsi="Tahoma" w:cs="Tahoma"/>
              </w:rPr>
              <w:t xml:space="preserve">de energie </w:t>
            </w:r>
            <w:r w:rsidR="00375E64" w:rsidRPr="00375E64">
              <w:rPr>
                <w:rFonts w:ascii="Tahoma" w:hAnsi="Tahoma" w:cs="Tahoma"/>
              </w:rPr>
              <w:t>î</w:t>
            </w:r>
            <w:r w:rsidR="004F1C90" w:rsidRPr="00375E64">
              <w:rPr>
                <w:rFonts w:ascii="Tahoma" w:hAnsi="Tahoma" w:cs="Tahoma"/>
              </w:rPr>
              <w:t xml:space="preserve">n vigoare, a altor documente relevante </w:t>
            </w:r>
            <w:r w:rsidR="00375E64" w:rsidRPr="00375E64">
              <w:rPr>
                <w:rFonts w:ascii="Tahoma" w:hAnsi="Tahoma" w:cs="Tahoma"/>
              </w:rPr>
              <w:t>î</w:t>
            </w:r>
            <w:r w:rsidR="004F1C90" w:rsidRPr="00375E64">
              <w:rPr>
                <w:rFonts w:ascii="Tahoma" w:hAnsi="Tahoma" w:cs="Tahoma"/>
              </w:rPr>
              <w:t>n acest sens.</w:t>
            </w:r>
          </w:p>
          <w:p w14:paraId="41844A13" w14:textId="77777777" w:rsidR="00507062" w:rsidRPr="00D92A9A" w:rsidRDefault="00507062" w:rsidP="00A61422">
            <w:pPr>
              <w:jc w:val="both"/>
              <w:rPr>
                <w:rFonts w:ascii="Tahoma" w:hAnsi="Tahoma" w:cs="Tahoma"/>
                <w:bCs/>
              </w:rPr>
            </w:pPr>
          </w:p>
        </w:tc>
      </w:tr>
      <w:bookmarkEnd w:id="0"/>
    </w:tbl>
    <w:p w14:paraId="73A19B35" w14:textId="77777777" w:rsidR="0008129D" w:rsidRPr="00B13878" w:rsidRDefault="0008129D" w:rsidP="00835CCD">
      <w:pPr>
        <w:spacing w:after="0" w:line="240" w:lineRule="auto"/>
        <w:rPr>
          <w:rFonts w:ascii="Tahoma" w:hAnsi="Tahoma" w:cs="Tahoma"/>
          <w:color w:val="FF0000"/>
        </w:rPr>
      </w:pPr>
    </w:p>
    <w:sectPr w:rsidR="0008129D" w:rsidRPr="00B13878" w:rsidSect="00525518">
      <w:footerReference w:type="default" r:id="rId8"/>
      <w:pgSz w:w="16838" w:h="11906" w:orient="landscape" w:code="9"/>
      <w:pgMar w:top="1418" w:right="1191" w:bottom="1134" w:left="1418"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535D0" w14:textId="77777777" w:rsidR="0041547E" w:rsidRDefault="0041547E" w:rsidP="00373DA0">
      <w:pPr>
        <w:spacing w:after="0" w:line="240" w:lineRule="auto"/>
      </w:pPr>
      <w:r>
        <w:separator/>
      </w:r>
    </w:p>
  </w:endnote>
  <w:endnote w:type="continuationSeparator" w:id="0">
    <w:p w14:paraId="5B9E90F9" w14:textId="77777777" w:rsidR="0041547E" w:rsidRDefault="0041547E" w:rsidP="00373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RomanR">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sz w:val="16"/>
        <w:szCs w:val="16"/>
      </w:rPr>
      <w:id w:val="-1593227656"/>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0B8F037" w14:textId="354ABEDD" w:rsidR="00373DA0" w:rsidRPr="00373DA0" w:rsidRDefault="00373DA0">
            <w:pPr>
              <w:pStyle w:val="Footer"/>
              <w:jc w:val="right"/>
              <w:rPr>
                <w:rFonts w:ascii="Tahoma" w:hAnsi="Tahoma" w:cs="Tahoma"/>
                <w:sz w:val="16"/>
                <w:szCs w:val="16"/>
              </w:rPr>
            </w:pPr>
            <w:r w:rsidRPr="00373DA0">
              <w:rPr>
                <w:rFonts w:ascii="Tahoma" w:hAnsi="Tahoma" w:cs="Tahoma"/>
                <w:sz w:val="16"/>
                <w:szCs w:val="16"/>
              </w:rPr>
              <w:fldChar w:fldCharType="begin"/>
            </w:r>
            <w:r w:rsidRPr="00373DA0">
              <w:rPr>
                <w:rFonts w:ascii="Tahoma" w:hAnsi="Tahoma" w:cs="Tahoma"/>
                <w:sz w:val="16"/>
                <w:szCs w:val="16"/>
              </w:rPr>
              <w:instrText xml:space="preserve"> PAGE </w:instrText>
            </w:r>
            <w:r w:rsidRPr="00373DA0">
              <w:rPr>
                <w:rFonts w:ascii="Tahoma" w:hAnsi="Tahoma" w:cs="Tahoma"/>
                <w:sz w:val="16"/>
                <w:szCs w:val="16"/>
              </w:rPr>
              <w:fldChar w:fldCharType="separate"/>
            </w:r>
            <w:r w:rsidRPr="00373DA0">
              <w:rPr>
                <w:rFonts w:ascii="Tahoma" w:hAnsi="Tahoma" w:cs="Tahoma"/>
                <w:noProof/>
                <w:sz w:val="16"/>
                <w:szCs w:val="16"/>
              </w:rPr>
              <w:t>2</w:t>
            </w:r>
            <w:r w:rsidRPr="00373DA0">
              <w:rPr>
                <w:rFonts w:ascii="Tahoma" w:hAnsi="Tahoma" w:cs="Tahoma"/>
                <w:sz w:val="16"/>
                <w:szCs w:val="16"/>
              </w:rPr>
              <w:fldChar w:fldCharType="end"/>
            </w:r>
            <w:r>
              <w:rPr>
                <w:rFonts w:ascii="Tahoma" w:hAnsi="Tahoma" w:cs="Tahoma"/>
                <w:sz w:val="16"/>
                <w:szCs w:val="16"/>
              </w:rPr>
              <w:t>/</w:t>
            </w:r>
            <w:r w:rsidRPr="00373DA0">
              <w:rPr>
                <w:rFonts w:ascii="Tahoma" w:hAnsi="Tahoma" w:cs="Tahoma"/>
                <w:sz w:val="16"/>
                <w:szCs w:val="16"/>
              </w:rPr>
              <w:fldChar w:fldCharType="begin"/>
            </w:r>
            <w:r w:rsidRPr="00373DA0">
              <w:rPr>
                <w:rFonts w:ascii="Tahoma" w:hAnsi="Tahoma" w:cs="Tahoma"/>
                <w:sz w:val="16"/>
                <w:szCs w:val="16"/>
              </w:rPr>
              <w:instrText xml:space="preserve"> NUMPAGES  </w:instrText>
            </w:r>
            <w:r w:rsidRPr="00373DA0">
              <w:rPr>
                <w:rFonts w:ascii="Tahoma" w:hAnsi="Tahoma" w:cs="Tahoma"/>
                <w:sz w:val="16"/>
                <w:szCs w:val="16"/>
              </w:rPr>
              <w:fldChar w:fldCharType="separate"/>
            </w:r>
            <w:r w:rsidRPr="00373DA0">
              <w:rPr>
                <w:rFonts w:ascii="Tahoma" w:hAnsi="Tahoma" w:cs="Tahoma"/>
                <w:noProof/>
                <w:sz w:val="16"/>
                <w:szCs w:val="16"/>
              </w:rPr>
              <w:t>2</w:t>
            </w:r>
            <w:r w:rsidRPr="00373DA0">
              <w:rPr>
                <w:rFonts w:ascii="Tahoma" w:hAnsi="Tahoma" w:cs="Tahoma"/>
                <w:sz w:val="16"/>
                <w:szCs w:val="16"/>
              </w:rPr>
              <w:fldChar w:fldCharType="end"/>
            </w:r>
          </w:p>
        </w:sdtContent>
      </w:sdt>
    </w:sdtContent>
  </w:sdt>
  <w:p w14:paraId="38569491" w14:textId="77777777" w:rsidR="00373DA0" w:rsidRDefault="00373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C69D7" w14:textId="77777777" w:rsidR="0041547E" w:rsidRDefault="0041547E" w:rsidP="00373DA0">
      <w:pPr>
        <w:spacing w:after="0" w:line="240" w:lineRule="auto"/>
      </w:pPr>
      <w:r>
        <w:separator/>
      </w:r>
    </w:p>
  </w:footnote>
  <w:footnote w:type="continuationSeparator" w:id="0">
    <w:p w14:paraId="2000F905" w14:textId="77777777" w:rsidR="0041547E" w:rsidRDefault="0041547E" w:rsidP="00373D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815E2"/>
    <w:multiLevelType w:val="hybridMultilevel"/>
    <w:tmpl w:val="5DE0CB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EDC"/>
    <w:multiLevelType w:val="hybridMultilevel"/>
    <w:tmpl w:val="33CC75A6"/>
    <w:lvl w:ilvl="0" w:tplc="100858E2">
      <w:start w:val="1"/>
      <w:numFmt w:val="bullet"/>
      <w:lvlText w:val="-"/>
      <w:lvlJc w:val="left"/>
      <w:pPr>
        <w:ind w:left="720" w:hanging="360"/>
      </w:pPr>
      <w:rPr>
        <w:rFonts w:ascii="Calibri" w:eastAsia="Times New Roman" w:hAnsi="Calibri" w:cs="Calibri"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8A2B58"/>
    <w:multiLevelType w:val="hybridMultilevel"/>
    <w:tmpl w:val="6DAE352A"/>
    <w:lvl w:ilvl="0" w:tplc="1C181A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D0ADA"/>
    <w:multiLevelType w:val="hybridMultilevel"/>
    <w:tmpl w:val="B73A9A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DD0C6A"/>
    <w:multiLevelType w:val="hybridMultilevel"/>
    <w:tmpl w:val="CAA80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57C7B"/>
    <w:multiLevelType w:val="hybridMultilevel"/>
    <w:tmpl w:val="9AA2C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67C8E"/>
    <w:multiLevelType w:val="hybridMultilevel"/>
    <w:tmpl w:val="7F72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ADD4617"/>
    <w:multiLevelType w:val="multilevel"/>
    <w:tmpl w:val="C42074BE"/>
    <w:lvl w:ilvl="0">
      <w:start w:val="5"/>
      <w:numFmt w:val="decimal"/>
      <w:lvlText w:val="%1."/>
      <w:lvlJc w:val="left"/>
      <w:pPr>
        <w:tabs>
          <w:tab w:val="num" w:pos="360"/>
        </w:tabs>
        <w:ind w:left="360" w:hanging="360"/>
      </w:pPr>
      <w:rPr>
        <w:rFonts w:hint="default"/>
      </w:rPr>
    </w:lvl>
    <w:lvl w:ilvl="1">
      <w:start w:val="1"/>
      <w:numFmt w:val="decimal"/>
      <w:lvlText w:val="8.%2."/>
      <w:lvlJc w:val="left"/>
      <w:pPr>
        <w:tabs>
          <w:tab w:val="num" w:pos="720"/>
        </w:tabs>
        <w:ind w:left="720" w:hanging="720"/>
      </w:pPr>
      <w:rPr>
        <w:rFonts w:ascii="Tahoma" w:hAnsi="Tahoma" w:cs="Tahoma" w:hint="default"/>
        <w:b/>
        <w:sz w:val="22"/>
        <w:szCs w:val="22"/>
      </w:rPr>
    </w:lvl>
    <w:lvl w:ilvl="2">
      <w:start w:val="1"/>
      <w:numFmt w:val="decimal"/>
      <w:lvlText w:val="7.6.%3."/>
      <w:lvlJc w:val="left"/>
      <w:pPr>
        <w:tabs>
          <w:tab w:val="num" w:pos="1260"/>
        </w:tabs>
        <w:ind w:left="126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57B62D06"/>
    <w:multiLevelType w:val="multilevel"/>
    <w:tmpl w:val="D5D49C76"/>
    <w:lvl w:ilvl="0">
      <w:start w:val="4"/>
      <w:numFmt w:val="decimal"/>
      <w:lvlText w:val="%1."/>
      <w:lvlJc w:val="left"/>
      <w:pPr>
        <w:ind w:left="390" w:hanging="390"/>
      </w:pPr>
    </w:lvl>
    <w:lvl w:ilvl="1">
      <w:start w:val="3"/>
      <w:numFmt w:val="decimal"/>
      <w:lvlText w:val="%1.%2."/>
      <w:lvlJc w:val="left"/>
      <w:pPr>
        <w:ind w:left="2880" w:hanging="720"/>
      </w:pPr>
    </w:lvl>
    <w:lvl w:ilvl="2">
      <w:start w:val="1"/>
      <w:numFmt w:val="decimal"/>
      <w:lvlText w:val="%1.%2.%3."/>
      <w:lvlJc w:val="left"/>
      <w:pPr>
        <w:ind w:left="5040" w:hanging="720"/>
      </w:pPr>
    </w:lvl>
    <w:lvl w:ilvl="3">
      <w:start w:val="1"/>
      <w:numFmt w:val="decimal"/>
      <w:lvlText w:val="%1.%2.%3.%4."/>
      <w:lvlJc w:val="left"/>
      <w:pPr>
        <w:ind w:left="7560" w:hanging="1080"/>
      </w:pPr>
    </w:lvl>
    <w:lvl w:ilvl="4">
      <w:start w:val="1"/>
      <w:numFmt w:val="decimal"/>
      <w:lvlText w:val="%1.%2.%3.%4.%5."/>
      <w:lvlJc w:val="left"/>
      <w:pPr>
        <w:ind w:left="10080" w:hanging="1440"/>
      </w:pPr>
    </w:lvl>
    <w:lvl w:ilvl="5">
      <w:start w:val="1"/>
      <w:numFmt w:val="decimal"/>
      <w:lvlText w:val="%1.%2.%3.%4.%5.%6."/>
      <w:lvlJc w:val="left"/>
      <w:pPr>
        <w:ind w:left="12240" w:hanging="1440"/>
      </w:pPr>
    </w:lvl>
    <w:lvl w:ilvl="6">
      <w:start w:val="1"/>
      <w:numFmt w:val="decimal"/>
      <w:lvlText w:val="%1.%2.%3.%4.%5.%6.%7."/>
      <w:lvlJc w:val="left"/>
      <w:pPr>
        <w:ind w:left="14760" w:hanging="1800"/>
      </w:pPr>
    </w:lvl>
    <w:lvl w:ilvl="7">
      <w:start w:val="1"/>
      <w:numFmt w:val="decimal"/>
      <w:lvlText w:val="%1.%2.%3.%4.%5.%6.%7.%8."/>
      <w:lvlJc w:val="left"/>
      <w:pPr>
        <w:ind w:left="17280" w:hanging="2160"/>
      </w:pPr>
    </w:lvl>
    <w:lvl w:ilvl="8">
      <w:start w:val="1"/>
      <w:numFmt w:val="decimal"/>
      <w:lvlText w:val="%1.%2.%3.%4.%5.%6.%7.%8.%9."/>
      <w:lvlJc w:val="left"/>
      <w:pPr>
        <w:ind w:left="19440" w:hanging="2160"/>
      </w:pPr>
    </w:lvl>
  </w:abstractNum>
  <w:abstractNum w:abstractNumId="9" w15:restartNumberingAfterBreak="0">
    <w:nsid w:val="6D0822D5"/>
    <w:multiLevelType w:val="hybridMultilevel"/>
    <w:tmpl w:val="F404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7503C8"/>
    <w:multiLevelType w:val="hybridMultilevel"/>
    <w:tmpl w:val="5F70E2F4"/>
    <w:lvl w:ilvl="0" w:tplc="D79C04E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9"/>
  </w:num>
  <w:num w:numId="4">
    <w:abstractNumId w:val="4"/>
  </w:num>
  <w:num w:numId="5">
    <w:abstractNumId w:val="0"/>
  </w:num>
  <w:num w:numId="6">
    <w:abstractNumId w:val="10"/>
  </w:num>
  <w:num w:numId="7">
    <w:abstractNumId w:val="3"/>
  </w:num>
  <w:num w:numId="8">
    <w:abstractNumId w:val="1"/>
  </w:num>
  <w:num w:numId="9">
    <w:abstractNumId w:val="7"/>
  </w:num>
  <w:num w:numId="10">
    <w:abstractNumId w:val="6"/>
  </w:num>
  <w:num w:numId="11">
    <w:abstractNumId w:val="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9D"/>
    <w:rsid w:val="000037C4"/>
    <w:rsid w:val="0000553A"/>
    <w:rsid w:val="00024CAA"/>
    <w:rsid w:val="0004259D"/>
    <w:rsid w:val="000664E5"/>
    <w:rsid w:val="0007590B"/>
    <w:rsid w:val="0008129D"/>
    <w:rsid w:val="00093473"/>
    <w:rsid w:val="00093A94"/>
    <w:rsid w:val="000971A5"/>
    <w:rsid w:val="000A3735"/>
    <w:rsid w:val="000A776A"/>
    <w:rsid w:val="000B1933"/>
    <w:rsid w:val="000C0381"/>
    <w:rsid w:val="000C1322"/>
    <w:rsid w:val="000E2229"/>
    <w:rsid w:val="000E3EFC"/>
    <w:rsid w:val="000E63CF"/>
    <w:rsid w:val="0010246E"/>
    <w:rsid w:val="00103622"/>
    <w:rsid w:val="00110A96"/>
    <w:rsid w:val="001119ED"/>
    <w:rsid w:val="00117F1E"/>
    <w:rsid w:val="00124A4E"/>
    <w:rsid w:val="0013638D"/>
    <w:rsid w:val="00146236"/>
    <w:rsid w:val="00146996"/>
    <w:rsid w:val="00147136"/>
    <w:rsid w:val="00152E2E"/>
    <w:rsid w:val="0016073D"/>
    <w:rsid w:val="00166DA3"/>
    <w:rsid w:val="00180DC2"/>
    <w:rsid w:val="00184AB8"/>
    <w:rsid w:val="00191E49"/>
    <w:rsid w:val="001952D1"/>
    <w:rsid w:val="00196A22"/>
    <w:rsid w:val="001972BF"/>
    <w:rsid w:val="001A101C"/>
    <w:rsid w:val="001A751F"/>
    <w:rsid w:val="001C5C63"/>
    <w:rsid w:val="001E5772"/>
    <w:rsid w:val="001F51BF"/>
    <w:rsid w:val="001F6A83"/>
    <w:rsid w:val="00210C97"/>
    <w:rsid w:val="0021218C"/>
    <w:rsid w:val="00213F60"/>
    <w:rsid w:val="0021790A"/>
    <w:rsid w:val="00223AF8"/>
    <w:rsid w:val="0022795A"/>
    <w:rsid w:val="0023504C"/>
    <w:rsid w:val="002350AC"/>
    <w:rsid w:val="00237AAC"/>
    <w:rsid w:val="00251612"/>
    <w:rsid w:val="00255933"/>
    <w:rsid w:val="00263201"/>
    <w:rsid w:val="002718CF"/>
    <w:rsid w:val="00272BC0"/>
    <w:rsid w:val="002939B0"/>
    <w:rsid w:val="002943B3"/>
    <w:rsid w:val="0029521C"/>
    <w:rsid w:val="002968D3"/>
    <w:rsid w:val="002A7945"/>
    <w:rsid w:val="002B6B0F"/>
    <w:rsid w:val="002B71A0"/>
    <w:rsid w:val="002B7FC7"/>
    <w:rsid w:val="002C42C1"/>
    <w:rsid w:val="002D0D88"/>
    <w:rsid w:val="002D1517"/>
    <w:rsid w:val="002D7943"/>
    <w:rsid w:val="002E5CC2"/>
    <w:rsid w:val="002F25C7"/>
    <w:rsid w:val="002F3929"/>
    <w:rsid w:val="003044D2"/>
    <w:rsid w:val="00306FAB"/>
    <w:rsid w:val="00312706"/>
    <w:rsid w:val="00314B86"/>
    <w:rsid w:val="00316796"/>
    <w:rsid w:val="003254AD"/>
    <w:rsid w:val="0033375D"/>
    <w:rsid w:val="003365B4"/>
    <w:rsid w:val="0033793A"/>
    <w:rsid w:val="00341230"/>
    <w:rsid w:val="003429CE"/>
    <w:rsid w:val="00344AE3"/>
    <w:rsid w:val="0035034F"/>
    <w:rsid w:val="00351BAB"/>
    <w:rsid w:val="00361711"/>
    <w:rsid w:val="00365B5D"/>
    <w:rsid w:val="003736B1"/>
    <w:rsid w:val="00373DA0"/>
    <w:rsid w:val="00374CFE"/>
    <w:rsid w:val="00375E64"/>
    <w:rsid w:val="003A2D21"/>
    <w:rsid w:val="003A4600"/>
    <w:rsid w:val="003A5D3F"/>
    <w:rsid w:val="003C0E28"/>
    <w:rsid w:val="003C390C"/>
    <w:rsid w:val="003D3780"/>
    <w:rsid w:val="003D5D8C"/>
    <w:rsid w:val="003E13C0"/>
    <w:rsid w:val="003E42E6"/>
    <w:rsid w:val="00401FBD"/>
    <w:rsid w:val="004043A1"/>
    <w:rsid w:val="00406A48"/>
    <w:rsid w:val="0041547E"/>
    <w:rsid w:val="00421483"/>
    <w:rsid w:val="0043291F"/>
    <w:rsid w:val="0043349D"/>
    <w:rsid w:val="00440BB9"/>
    <w:rsid w:val="004413C9"/>
    <w:rsid w:val="00446666"/>
    <w:rsid w:val="00451799"/>
    <w:rsid w:val="00452AD8"/>
    <w:rsid w:val="0045577F"/>
    <w:rsid w:val="00456741"/>
    <w:rsid w:val="00456CAE"/>
    <w:rsid w:val="004648FE"/>
    <w:rsid w:val="0046672A"/>
    <w:rsid w:val="00475967"/>
    <w:rsid w:val="004765AC"/>
    <w:rsid w:val="004778A6"/>
    <w:rsid w:val="004832EA"/>
    <w:rsid w:val="0048523C"/>
    <w:rsid w:val="0048553B"/>
    <w:rsid w:val="0049333E"/>
    <w:rsid w:val="00496E2D"/>
    <w:rsid w:val="004A10B6"/>
    <w:rsid w:val="004B00A6"/>
    <w:rsid w:val="004B248D"/>
    <w:rsid w:val="004C15A1"/>
    <w:rsid w:val="004E2AEA"/>
    <w:rsid w:val="004F1C90"/>
    <w:rsid w:val="004F39ED"/>
    <w:rsid w:val="00507062"/>
    <w:rsid w:val="00514534"/>
    <w:rsid w:val="005217FE"/>
    <w:rsid w:val="00525518"/>
    <w:rsid w:val="00525B50"/>
    <w:rsid w:val="005368F0"/>
    <w:rsid w:val="0054038F"/>
    <w:rsid w:val="00547E91"/>
    <w:rsid w:val="00561360"/>
    <w:rsid w:val="0057064E"/>
    <w:rsid w:val="0057431F"/>
    <w:rsid w:val="0057513A"/>
    <w:rsid w:val="005833CF"/>
    <w:rsid w:val="00596C8A"/>
    <w:rsid w:val="005A3C80"/>
    <w:rsid w:val="005A562E"/>
    <w:rsid w:val="005B0DE9"/>
    <w:rsid w:val="005B15A1"/>
    <w:rsid w:val="005C4A40"/>
    <w:rsid w:val="005D2D72"/>
    <w:rsid w:val="005D5B01"/>
    <w:rsid w:val="005D687A"/>
    <w:rsid w:val="005E20D1"/>
    <w:rsid w:val="00610B74"/>
    <w:rsid w:val="00616089"/>
    <w:rsid w:val="006175B1"/>
    <w:rsid w:val="00620D04"/>
    <w:rsid w:val="0063307C"/>
    <w:rsid w:val="00641429"/>
    <w:rsid w:val="00652444"/>
    <w:rsid w:val="00667132"/>
    <w:rsid w:val="00672C0D"/>
    <w:rsid w:val="00676DC2"/>
    <w:rsid w:val="00680062"/>
    <w:rsid w:val="00680C62"/>
    <w:rsid w:val="006834C9"/>
    <w:rsid w:val="006A31D7"/>
    <w:rsid w:val="006C1C5B"/>
    <w:rsid w:val="006D3D78"/>
    <w:rsid w:val="006E299A"/>
    <w:rsid w:val="006E322D"/>
    <w:rsid w:val="006E4C94"/>
    <w:rsid w:val="006F7082"/>
    <w:rsid w:val="00703751"/>
    <w:rsid w:val="007052A0"/>
    <w:rsid w:val="00705743"/>
    <w:rsid w:val="00716E38"/>
    <w:rsid w:val="007232B5"/>
    <w:rsid w:val="00725187"/>
    <w:rsid w:val="00725850"/>
    <w:rsid w:val="00733C4D"/>
    <w:rsid w:val="00736BF2"/>
    <w:rsid w:val="00737179"/>
    <w:rsid w:val="00755B4A"/>
    <w:rsid w:val="0077159E"/>
    <w:rsid w:val="007817B6"/>
    <w:rsid w:val="007835D0"/>
    <w:rsid w:val="00784EDE"/>
    <w:rsid w:val="00786679"/>
    <w:rsid w:val="00791B47"/>
    <w:rsid w:val="00792166"/>
    <w:rsid w:val="00793016"/>
    <w:rsid w:val="00793CAC"/>
    <w:rsid w:val="00795F54"/>
    <w:rsid w:val="007A57AB"/>
    <w:rsid w:val="007A6A3F"/>
    <w:rsid w:val="007B0D59"/>
    <w:rsid w:val="007C0AC3"/>
    <w:rsid w:val="00800FC0"/>
    <w:rsid w:val="0081433D"/>
    <w:rsid w:val="00820069"/>
    <w:rsid w:val="00820848"/>
    <w:rsid w:val="0083010D"/>
    <w:rsid w:val="008337A9"/>
    <w:rsid w:val="00835CCD"/>
    <w:rsid w:val="008420E2"/>
    <w:rsid w:val="00862C8C"/>
    <w:rsid w:val="00873AB8"/>
    <w:rsid w:val="00877027"/>
    <w:rsid w:val="0087778D"/>
    <w:rsid w:val="00882206"/>
    <w:rsid w:val="00882DCA"/>
    <w:rsid w:val="00890806"/>
    <w:rsid w:val="00894561"/>
    <w:rsid w:val="008A51D1"/>
    <w:rsid w:val="008B0959"/>
    <w:rsid w:val="008C0148"/>
    <w:rsid w:val="008C049A"/>
    <w:rsid w:val="008C2A80"/>
    <w:rsid w:val="008E05F7"/>
    <w:rsid w:val="008E36C0"/>
    <w:rsid w:val="008F3B3B"/>
    <w:rsid w:val="008F7FAD"/>
    <w:rsid w:val="009150A1"/>
    <w:rsid w:val="00916479"/>
    <w:rsid w:val="00921E84"/>
    <w:rsid w:val="00922773"/>
    <w:rsid w:val="00923DB4"/>
    <w:rsid w:val="00941009"/>
    <w:rsid w:val="00963BB3"/>
    <w:rsid w:val="00970192"/>
    <w:rsid w:val="00970692"/>
    <w:rsid w:val="00971696"/>
    <w:rsid w:val="00975A12"/>
    <w:rsid w:val="00981223"/>
    <w:rsid w:val="009820A8"/>
    <w:rsid w:val="00984744"/>
    <w:rsid w:val="009850D3"/>
    <w:rsid w:val="00987F99"/>
    <w:rsid w:val="009A4BA6"/>
    <w:rsid w:val="009C1372"/>
    <w:rsid w:val="009C79F2"/>
    <w:rsid w:val="009C7C11"/>
    <w:rsid w:val="009C7C68"/>
    <w:rsid w:val="009C7EFB"/>
    <w:rsid w:val="009D0410"/>
    <w:rsid w:val="009E53D5"/>
    <w:rsid w:val="009E57C8"/>
    <w:rsid w:val="009F1FEC"/>
    <w:rsid w:val="00A03A54"/>
    <w:rsid w:val="00A071B8"/>
    <w:rsid w:val="00A15C42"/>
    <w:rsid w:val="00A27D9E"/>
    <w:rsid w:val="00A30AEE"/>
    <w:rsid w:val="00A31B6B"/>
    <w:rsid w:val="00A34832"/>
    <w:rsid w:val="00A366E0"/>
    <w:rsid w:val="00A4150C"/>
    <w:rsid w:val="00A462D5"/>
    <w:rsid w:val="00A46D59"/>
    <w:rsid w:val="00A53D7F"/>
    <w:rsid w:val="00A60CE1"/>
    <w:rsid w:val="00A61422"/>
    <w:rsid w:val="00A615C9"/>
    <w:rsid w:val="00A66BED"/>
    <w:rsid w:val="00A84EE4"/>
    <w:rsid w:val="00A90692"/>
    <w:rsid w:val="00AA0C12"/>
    <w:rsid w:val="00AA30B2"/>
    <w:rsid w:val="00AA3839"/>
    <w:rsid w:val="00AA4E5C"/>
    <w:rsid w:val="00AA79C2"/>
    <w:rsid w:val="00AB0903"/>
    <w:rsid w:val="00AB2D19"/>
    <w:rsid w:val="00AD0BC4"/>
    <w:rsid w:val="00AD28E1"/>
    <w:rsid w:val="00AE189D"/>
    <w:rsid w:val="00AF1F52"/>
    <w:rsid w:val="00AF28F9"/>
    <w:rsid w:val="00AF5144"/>
    <w:rsid w:val="00B017AF"/>
    <w:rsid w:val="00B0670B"/>
    <w:rsid w:val="00B13878"/>
    <w:rsid w:val="00B20AEA"/>
    <w:rsid w:val="00B23C96"/>
    <w:rsid w:val="00B23E8B"/>
    <w:rsid w:val="00B241F7"/>
    <w:rsid w:val="00B260E3"/>
    <w:rsid w:val="00B26431"/>
    <w:rsid w:val="00B3713D"/>
    <w:rsid w:val="00B4379C"/>
    <w:rsid w:val="00B43D5E"/>
    <w:rsid w:val="00B45707"/>
    <w:rsid w:val="00B557DC"/>
    <w:rsid w:val="00B64129"/>
    <w:rsid w:val="00B67F94"/>
    <w:rsid w:val="00B73783"/>
    <w:rsid w:val="00B82A45"/>
    <w:rsid w:val="00B837EA"/>
    <w:rsid w:val="00B937F6"/>
    <w:rsid w:val="00B9694B"/>
    <w:rsid w:val="00B97534"/>
    <w:rsid w:val="00BA0F10"/>
    <w:rsid w:val="00BA37CA"/>
    <w:rsid w:val="00BA75C0"/>
    <w:rsid w:val="00BB12DE"/>
    <w:rsid w:val="00BB2A24"/>
    <w:rsid w:val="00BC54F2"/>
    <w:rsid w:val="00BC6E43"/>
    <w:rsid w:val="00BD48BA"/>
    <w:rsid w:val="00BD5BF6"/>
    <w:rsid w:val="00BD6FA6"/>
    <w:rsid w:val="00BD727C"/>
    <w:rsid w:val="00BF0A8B"/>
    <w:rsid w:val="00BF1CFD"/>
    <w:rsid w:val="00C135D4"/>
    <w:rsid w:val="00C15203"/>
    <w:rsid w:val="00C26586"/>
    <w:rsid w:val="00C26E78"/>
    <w:rsid w:val="00C34C4F"/>
    <w:rsid w:val="00C377D3"/>
    <w:rsid w:val="00C40287"/>
    <w:rsid w:val="00C4619C"/>
    <w:rsid w:val="00C47A5E"/>
    <w:rsid w:val="00C520F5"/>
    <w:rsid w:val="00C537DB"/>
    <w:rsid w:val="00C53A55"/>
    <w:rsid w:val="00C62A31"/>
    <w:rsid w:val="00C653B4"/>
    <w:rsid w:val="00C910BE"/>
    <w:rsid w:val="00CA072C"/>
    <w:rsid w:val="00CA280D"/>
    <w:rsid w:val="00CA3056"/>
    <w:rsid w:val="00CB0D9C"/>
    <w:rsid w:val="00CC2B01"/>
    <w:rsid w:val="00CC489B"/>
    <w:rsid w:val="00CC4B96"/>
    <w:rsid w:val="00CC55A6"/>
    <w:rsid w:val="00CC6865"/>
    <w:rsid w:val="00CC7FCC"/>
    <w:rsid w:val="00CD2AAB"/>
    <w:rsid w:val="00CD2B52"/>
    <w:rsid w:val="00CD4340"/>
    <w:rsid w:val="00CD5806"/>
    <w:rsid w:val="00CD617B"/>
    <w:rsid w:val="00CD6716"/>
    <w:rsid w:val="00D01451"/>
    <w:rsid w:val="00D056D4"/>
    <w:rsid w:val="00D127B0"/>
    <w:rsid w:val="00D14F5E"/>
    <w:rsid w:val="00D16002"/>
    <w:rsid w:val="00D169C5"/>
    <w:rsid w:val="00D25714"/>
    <w:rsid w:val="00D33A8F"/>
    <w:rsid w:val="00D42675"/>
    <w:rsid w:val="00D45C3C"/>
    <w:rsid w:val="00D45CA6"/>
    <w:rsid w:val="00D460E0"/>
    <w:rsid w:val="00D71167"/>
    <w:rsid w:val="00D724F4"/>
    <w:rsid w:val="00D81B20"/>
    <w:rsid w:val="00D8495A"/>
    <w:rsid w:val="00D85293"/>
    <w:rsid w:val="00D9134A"/>
    <w:rsid w:val="00D92311"/>
    <w:rsid w:val="00D92A9A"/>
    <w:rsid w:val="00D937C6"/>
    <w:rsid w:val="00DB20E3"/>
    <w:rsid w:val="00DB28BC"/>
    <w:rsid w:val="00DB2A17"/>
    <w:rsid w:val="00DB35DD"/>
    <w:rsid w:val="00DC44D3"/>
    <w:rsid w:val="00DC78FC"/>
    <w:rsid w:val="00DC7B78"/>
    <w:rsid w:val="00DD255B"/>
    <w:rsid w:val="00DD5A44"/>
    <w:rsid w:val="00DE6F8F"/>
    <w:rsid w:val="00E00654"/>
    <w:rsid w:val="00E14FEB"/>
    <w:rsid w:val="00E21E41"/>
    <w:rsid w:val="00E35D03"/>
    <w:rsid w:val="00E36C30"/>
    <w:rsid w:val="00E55958"/>
    <w:rsid w:val="00E562BF"/>
    <w:rsid w:val="00E60B80"/>
    <w:rsid w:val="00E65A2D"/>
    <w:rsid w:val="00E81909"/>
    <w:rsid w:val="00E85221"/>
    <w:rsid w:val="00E86688"/>
    <w:rsid w:val="00E91E86"/>
    <w:rsid w:val="00E958A1"/>
    <w:rsid w:val="00E976C3"/>
    <w:rsid w:val="00EA7CA8"/>
    <w:rsid w:val="00EB040A"/>
    <w:rsid w:val="00ED120E"/>
    <w:rsid w:val="00ED5337"/>
    <w:rsid w:val="00ED564D"/>
    <w:rsid w:val="00ED7DDD"/>
    <w:rsid w:val="00EE0828"/>
    <w:rsid w:val="00EE2E40"/>
    <w:rsid w:val="00EF255E"/>
    <w:rsid w:val="00EF35C6"/>
    <w:rsid w:val="00EF7E19"/>
    <w:rsid w:val="00F01D4A"/>
    <w:rsid w:val="00F07EEE"/>
    <w:rsid w:val="00F10AEE"/>
    <w:rsid w:val="00F21293"/>
    <w:rsid w:val="00F313A5"/>
    <w:rsid w:val="00F31681"/>
    <w:rsid w:val="00F34864"/>
    <w:rsid w:val="00F36FFB"/>
    <w:rsid w:val="00F424E7"/>
    <w:rsid w:val="00F46467"/>
    <w:rsid w:val="00F50423"/>
    <w:rsid w:val="00F50AAF"/>
    <w:rsid w:val="00F6096D"/>
    <w:rsid w:val="00F67393"/>
    <w:rsid w:val="00F70ECA"/>
    <w:rsid w:val="00F77419"/>
    <w:rsid w:val="00F8042C"/>
    <w:rsid w:val="00F81CE0"/>
    <w:rsid w:val="00F840D7"/>
    <w:rsid w:val="00F85966"/>
    <w:rsid w:val="00F930AD"/>
    <w:rsid w:val="00F93D36"/>
    <w:rsid w:val="00F97A33"/>
    <w:rsid w:val="00FB19AB"/>
    <w:rsid w:val="00FB3414"/>
    <w:rsid w:val="00FB49E3"/>
    <w:rsid w:val="00FC4754"/>
    <w:rsid w:val="00FC6BE5"/>
    <w:rsid w:val="00FD3747"/>
    <w:rsid w:val="00FE76E0"/>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465A"/>
  <w15:docId w15:val="{0A30D074-FBDD-42C6-B763-306EE216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5C0"/>
  </w:style>
  <w:style w:type="paragraph" w:styleId="Heading1">
    <w:name w:val="heading 1"/>
    <w:basedOn w:val="Normal"/>
    <w:next w:val="Normal"/>
    <w:link w:val="Heading1Char"/>
    <w:qFormat/>
    <w:rsid w:val="00CC2B01"/>
    <w:pPr>
      <w:keepNext/>
      <w:spacing w:after="0" w:line="240" w:lineRule="auto"/>
      <w:outlineLvl w:val="0"/>
    </w:pPr>
    <w:rPr>
      <w:rFonts w:ascii="TimesRomanR" w:eastAsia="SimSun" w:hAnsi="TimesRomanR"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05F7"/>
    <w:pPr>
      <w:ind w:left="720"/>
      <w:contextualSpacing/>
    </w:pPr>
    <w:rPr>
      <w:lang w:val="en-US"/>
    </w:rPr>
  </w:style>
  <w:style w:type="character" w:styleId="CommentReference">
    <w:name w:val="annotation reference"/>
    <w:rsid w:val="00B73783"/>
    <w:rPr>
      <w:sz w:val="16"/>
      <w:szCs w:val="16"/>
    </w:rPr>
  </w:style>
  <w:style w:type="paragraph" w:styleId="CommentText">
    <w:name w:val="annotation text"/>
    <w:basedOn w:val="Normal"/>
    <w:link w:val="CommentTextChar"/>
    <w:rsid w:val="00B73783"/>
    <w:pPr>
      <w:spacing w:after="0" w:line="240" w:lineRule="auto"/>
    </w:pPr>
    <w:rPr>
      <w:rFonts w:ascii="Tahoma" w:eastAsia="Times New Roman" w:hAnsi="Tahoma" w:cs="Times New Roman"/>
      <w:szCs w:val="20"/>
      <w:lang w:eastAsia="ro-RO"/>
    </w:rPr>
  </w:style>
  <w:style w:type="character" w:customStyle="1" w:styleId="CommentTextChar">
    <w:name w:val="Comment Text Char"/>
    <w:basedOn w:val="DefaultParagraphFont"/>
    <w:link w:val="CommentText"/>
    <w:rsid w:val="00B73783"/>
    <w:rPr>
      <w:rFonts w:ascii="Tahoma" w:eastAsia="Times New Roman" w:hAnsi="Tahoma" w:cs="Times New Roman"/>
      <w:szCs w:val="20"/>
      <w:lang w:eastAsia="ro-RO"/>
    </w:rPr>
  </w:style>
  <w:style w:type="paragraph" w:styleId="BalloonText">
    <w:name w:val="Balloon Text"/>
    <w:basedOn w:val="Normal"/>
    <w:link w:val="BalloonTextChar"/>
    <w:uiPriority w:val="99"/>
    <w:semiHidden/>
    <w:unhideWhenUsed/>
    <w:rsid w:val="00B73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783"/>
    <w:rPr>
      <w:rFonts w:ascii="Tahoma" w:hAnsi="Tahoma" w:cs="Tahoma"/>
      <w:sz w:val="16"/>
      <w:szCs w:val="16"/>
    </w:rPr>
  </w:style>
  <w:style w:type="character" w:styleId="Emphasis">
    <w:name w:val="Emphasis"/>
    <w:basedOn w:val="DefaultParagraphFont"/>
    <w:uiPriority w:val="20"/>
    <w:qFormat/>
    <w:rsid w:val="00A31B6B"/>
    <w:rPr>
      <w:i/>
      <w:iCs/>
    </w:rPr>
  </w:style>
  <w:style w:type="paragraph" w:styleId="BodyText">
    <w:name w:val="Body Text"/>
    <w:basedOn w:val="Normal"/>
    <w:link w:val="BodyTextChar"/>
    <w:rsid w:val="006D3D78"/>
    <w:pPr>
      <w:spacing w:after="0" w:line="240" w:lineRule="auto"/>
      <w:jc w:val="center"/>
    </w:pPr>
    <w:rPr>
      <w:rFonts w:ascii="Times New Roman" w:eastAsia="Times New Roman" w:hAnsi="Times New Roman" w:cs="Times New Roman"/>
      <w:noProof/>
      <w:sz w:val="24"/>
      <w:szCs w:val="24"/>
      <w:lang w:val="en-US"/>
    </w:rPr>
  </w:style>
  <w:style w:type="character" w:customStyle="1" w:styleId="BodyTextChar">
    <w:name w:val="Body Text Char"/>
    <w:basedOn w:val="DefaultParagraphFont"/>
    <w:link w:val="BodyText"/>
    <w:rsid w:val="006D3D78"/>
    <w:rPr>
      <w:rFonts w:ascii="Times New Roman" w:eastAsia="Times New Roman" w:hAnsi="Times New Roman" w:cs="Times New Roman"/>
      <w:noProof/>
      <w:sz w:val="24"/>
      <w:szCs w:val="24"/>
      <w:lang w:val="en-US"/>
    </w:rPr>
  </w:style>
  <w:style w:type="character" w:customStyle="1" w:styleId="Heading1Char">
    <w:name w:val="Heading 1 Char"/>
    <w:basedOn w:val="DefaultParagraphFont"/>
    <w:link w:val="Heading1"/>
    <w:rsid w:val="00CC2B01"/>
    <w:rPr>
      <w:rFonts w:ascii="TimesRomanR" w:eastAsia="SimSun" w:hAnsi="TimesRomanR" w:cs="Times New Roman"/>
      <w:b/>
      <w:sz w:val="24"/>
      <w:szCs w:val="20"/>
      <w:lang w:val="en-GB"/>
    </w:rPr>
  </w:style>
  <w:style w:type="paragraph" w:styleId="BodyText3">
    <w:name w:val="Body Text 3"/>
    <w:basedOn w:val="Normal"/>
    <w:link w:val="BodyText3Char"/>
    <w:uiPriority w:val="99"/>
    <w:semiHidden/>
    <w:unhideWhenUsed/>
    <w:rsid w:val="006E4C94"/>
    <w:pPr>
      <w:spacing w:after="120"/>
    </w:pPr>
    <w:rPr>
      <w:sz w:val="16"/>
      <w:szCs w:val="16"/>
    </w:rPr>
  </w:style>
  <w:style w:type="character" w:customStyle="1" w:styleId="BodyText3Char">
    <w:name w:val="Body Text 3 Char"/>
    <w:basedOn w:val="DefaultParagraphFont"/>
    <w:link w:val="BodyText3"/>
    <w:uiPriority w:val="99"/>
    <w:semiHidden/>
    <w:rsid w:val="006E4C94"/>
    <w:rPr>
      <w:sz w:val="16"/>
      <w:szCs w:val="16"/>
    </w:rPr>
  </w:style>
  <w:style w:type="paragraph" w:styleId="CommentSubject">
    <w:name w:val="annotation subject"/>
    <w:basedOn w:val="CommentText"/>
    <w:next w:val="CommentText"/>
    <w:link w:val="CommentSubjectChar"/>
    <w:uiPriority w:val="99"/>
    <w:semiHidden/>
    <w:unhideWhenUsed/>
    <w:rsid w:val="00EF35C6"/>
    <w:pPr>
      <w:spacing w:after="200"/>
    </w:pPr>
    <w:rPr>
      <w:rFonts w:asciiTheme="minorHAnsi" w:eastAsia="MS Mincho" w:hAnsiTheme="minorHAnsi" w:cstheme="minorBidi"/>
      <w:b/>
      <w:bCs/>
      <w:sz w:val="20"/>
      <w:lang w:eastAsia="en-US"/>
    </w:rPr>
  </w:style>
  <w:style w:type="character" w:customStyle="1" w:styleId="CommentSubjectChar">
    <w:name w:val="Comment Subject Char"/>
    <w:basedOn w:val="CommentTextChar"/>
    <w:link w:val="CommentSubject"/>
    <w:uiPriority w:val="99"/>
    <w:semiHidden/>
    <w:rsid w:val="00EF35C6"/>
    <w:rPr>
      <w:rFonts w:ascii="Tahoma" w:eastAsia="Times New Roman" w:hAnsi="Tahoma" w:cs="Times New Roman"/>
      <w:b/>
      <w:bCs/>
      <w:sz w:val="20"/>
      <w:szCs w:val="20"/>
      <w:lang w:eastAsia="ro-RO"/>
    </w:rPr>
  </w:style>
  <w:style w:type="paragraph" w:styleId="Header">
    <w:name w:val="header"/>
    <w:basedOn w:val="Normal"/>
    <w:link w:val="HeaderChar"/>
    <w:uiPriority w:val="99"/>
    <w:unhideWhenUsed/>
    <w:rsid w:val="00373D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DA0"/>
  </w:style>
  <w:style w:type="paragraph" w:styleId="Footer">
    <w:name w:val="footer"/>
    <w:basedOn w:val="Normal"/>
    <w:link w:val="FooterChar"/>
    <w:uiPriority w:val="99"/>
    <w:unhideWhenUsed/>
    <w:rsid w:val="00373D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4819">
      <w:bodyDiv w:val="1"/>
      <w:marLeft w:val="0"/>
      <w:marRight w:val="0"/>
      <w:marTop w:val="0"/>
      <w:marBottom w:val="0"/>
      <w:divBdr>
        <w:top w:val="none" w:sz="0" w:space="0" w:color="auto"/>
        <w:left w:val="none" w:sz="0" w:space="0" w:color="auto"/>
        <w:bottom w:val="none" w:sz="0" w:space="0" w:color="auto"/>
        <w:right w:val="none" w:sz="0" w:space="0" w:color="auto"/>
      </w:divBdr>
    </w:div>
    <w:div w:id="96172778">
      <w:bodyDiv w:val="1"/>
      <w:marLeft w:val="0"/>
      <w:marRight w:val="0"/>
      <w:marTop w:val="0"/>
      <w:marBottom w:val="0"/>
      <w:divBdr>
        <w:top w:val="none" w:sz="0" w:space="0" w:color="auto"/>
        <w:left w:val="none" w:sz="0" w:space="0" w:color="auto"/>
        <w:bottom w:val="none" w:sz="0" w:space="0" w:color="auto"/>
        <w:right w:val="none" w:sz="0" w:space="0" w:color="auto"/>
      </w:divBdr>
    </w:div>
    <w:div w:id="600378169">
      <w:bodyDiv w:val="1"/>
      <w:marLeft w:val="0"/>
      <w:marRight w:val="0"/>
      <w:marTop w:val="0"/>
      <w:marBottom w:val="0"/>
      <w:divBdr>
        <w:top w:val="none" w:sz="0" w:space="0" w:color="auto"/>
        <w:left w:val="none" w:sz="0" w:space="0" w:color="auto"/>
        <w:bottom w:val="none" w:sz="0" w:space="0" w:color="auto"/>
        <w:right w:val="none" w:sz="0" w:space="0" w:color="auto"/>
      </w:divBdr>
    </w:div>
    <w:div w:id="1175417081">
      <w:bodyDiv w:val="1"/>
      <w:marLeft w:val="0"/>
      <w:marRight w:val="0"/>
      <w:marTop w:val="0"/>
      <w:marBottom w:val="0"/>
      <w:divBdr>
        <w:top w:val="none" w:sz="0" w:space="0" w:color="auto"/>
        <w:left w:val="none" w:sz="0" w:space="0" w:color="auto"/>
        <w:bottom w:val="none" w:sz="0" w:space="0" w:color="auto"/>
        <w:right w:val="none" w:sz="0" w:space="0" w:color="auto"/>
      </w:divBdr>
    </w:div>
    <w:div w:id="1268808390">
      <w:bodyDiv w:val="1"/>
      <w:marLeft w:val="0"/>
      <w:marRight w:val="0"/>
      <w:marTop w:val="0"/>
      <w:marBottom w:val="0"/>
      <w:divBdr>
        <w:top w:val="none" w:sz="0" w:space="0" w:color="auto"/>
        <w:left w:val="none" w:sz="0" w:space="0" w:color="auto"/>
        <w:bottom w:val="none" w:sz="0" w:space="0" w:color="auto"/>
        <w:right w:val="none" w:sz="0" w:space="0" w:color="auto"/>
      </w:divBdr>
    </w:div>
    <w:div w:id="1480153481">
      <w:bodyDiv w:val="1"/>
      <w:marLeft w:val="0"/>
      <w:marRight w:val="0"/>
      <w:marTop w:val="0"/>
      <w:marBottom w:val="0"/>
      <w:divBdr>
        <w:top w:val="none" w:sz="0" w:space="0" w:color="auto"/>
        <w:left w:val="none" w:sz="0" w:space="0" w:color="auto"/>
        <w:bottom w:val="none" w:sz="0" w:space="0" w:color="auto"/>
        <w:right w:val="none" w:sz="0" w:space="0" w:color="auto"/>
      </w:divBdr>
    </w:div>
    <w:div w:id="1794014099">
      <w:bodyDiv w:val="1"/>
      <w:marLeft w:val="0"/>
      <w:marRight w:val="0"/>
      <w:marTop w:val="0"/>
      <w:marBottom w:val="0"/>
      <w:divBdr>
        <w:top w:val="none" w:sz="0" w:space="0" w:color="auto"/>
        <w:left w:val="none" w:sz="0" w:space="0" w:color="auto"/>
        <w:bottom w:val="none" w:sz="0" w:space="0" w:color="auto"/>
        <w:right w:val="none" w:sz="0" w:space="0" w:color="auto"/>
      </w:divBdr>
    </w:div>
    <w:div w:id="183109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77401-D676-4976-8A24-E54470A51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Roxana Mihai</dc:creator>
  <cp:lastModifiedBy>OPCOM1</cp:lastModifiedBy>
  <cp:revision>2</cp:revision>
  <cp:lastPrinted>2019-06-04T13:51:00Z</cp:lastPrinted>
  <dcterms:created xsi:type="dcterms:W3CDTF">2019-08-22T17:57:00Z</dcterms:created>
  <dcterms:modified xsi:type="dcterms:W3CDTF">2019-08-22T17:57:00Z</dcterms:modified>
</cp:coreProperties>
</file>